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56"/>
      </w:pPr>
      <w:r>
        <w:rPr>
          <w:rFonts w:hint="eastAsia" w:asciiTheme="minorEastAsia" w:hAnsiTheme="minorEastAsia" w:eastAsiaTheme="minorEastAsia"/>
          <w:color w:val="000000" w:themeColor="text1"/>
          <w:szCs w:val="21"/>
          <w14:textFill>
            <w14:solidFill>
              <w14:schemeClr w14:val="tx1"/>
            </w14:solidFill>
          </w14:textFill>
        </w:rPr>
        <w:t>专业介绍：经济学</w:t>
      </w:r>
    </w:p>
    <w:p>
      <w:pPr>
        <w:pStyle w:val="4"/>
        <w:spacing w:before="156"/>
        <w:rPr>
          <w:rFonts w:cs="宋体" w:asciiTheme="minorEastAsia" w:hAnsiTheme="minorEastAsia" w:eastAsiaTheme="minorEastAsia"/>
          <w:color w:val="000000" w:themeColor="text1"/>
          <w:szCs w:val="21"/>
          <w14:textFill>
            <w14:solidFill>
              <w14:schemeClr w14:val="tx1"/>
            </w14:solidFill>
          </w14:textFill>
        </w:rPr>
      </w:pPr>
      <w:r>
        <w:rPr>
          <w:rFonts w:hint="eastAsia"/>
        </w:rPr>
        <w:t>☆专业特色</w:t>
      </w:r>
    </w:p>
    <w:p>
      <w:pPr>
        <w:adjustRightInd w:val="0"/>
        <w:snapToGrid w:val="0"/>
        <w:ind w:firstLine="420" w:firstLineChars="200"/>
        <w:rPr>
          <w:rFonts w:ascii="宋体" w:hAnsi="宋体"/>
          <w:szCs w:val="21"/>
        </w:rPr>
      </w:pPr>
      <w:r>
        <w:rPr>
          <w:rFonts w:hint="eastAsia" w:ascii="宋体" w:hAnsi="宋体"/>
          <w:szCs w:val="21"/>
        </w:rPr>
        <w:t>本专业源自1909年的铁路商务管理专科，是交大最悠久的专业之一，以马寅初、赵传云、苏敬之、许庆斌、方举、陈景艳、宋树勋、幺培基等为代表的杰出经济学家曾在此任教，为国家培养了大批专门人才，新中国运输经济学科发轫于此。2012年成为国家级综合改革试点专业，2019年荣获首批国家级一流本科专业建设点，所在一级学科进入“软科世界一流学科排名”世界一流学科榜单。专业依托运输经济学为特色的产业经济学国家重点学科，以时空资源配置为对象，强调理论和实证结合，关注高速铁路、综合交通、城市交通、城镇化、基础产业和新兴产业等，在新文科和双一流建设的引导下，积极拓展高铁网络经济、经济安全、数字经济等研究领域。</w:t>
      </w:r>
    </w:p>
    <w:p>
      <w:pPr>
        <w:adjustRightInd w:val="0"/>
        <w:snapToGrid w:val="0"/>
        <w:spacing w:after="156" w:afterLines="50"/>
        <w:ind w:firstLine="420" w:firstLineChars="20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经济学专业第二学士学位培养方案设置注重学生经济素质培养。聘请各类教学名师以及资深专业教师授课；灵活采用线下、线上、线上线下混合等授课形式；配备辅导员和班主任对学生学习学业、学术科研、实践创新等给予必要的指导。</w:t>
      </w:r>
    </w:p>
    <w:p>
      <w:pPr>
        <w:pStyle w:val="4"/>
        <w:spacing w:before="156"/>
        <w:rPr>
          <w:rFonts w:cs="宋体" w:asciiTheme="minorEastAsia" w:hAnsiTheme="minorEastAsia" w:eastAsiaTheme="minorEastAsia"/>
          <w:color w:val="000000" w:themeColor="text1"/>
          <w:szCs w:val="21"/>
          <w14:textFill>
            <w14:solidFill>
              <w14:schemeClr w14:val="tx1"/>
            </w14:solidFill>
          </w14:textFill>
        </w:rPr>
      </w:pPr>
      <w:r>
        <w:rPr>
          <w:rFonts w:hint="eastAsia"/>
        </w:rPr>
        <w:t>☆培养目标</w:t>
      </w:r>
    </w:p>
    <w:p>
      <w:pPr>
        <w:adjustRightInd w:val="0"/>
        <w:snapToGrid w:val="0"/>
        <w:spacing w:after="156" w:afterLines="50"/>
        <w:ind w:firstLine="420" w:firstLineChars="20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本专业旨在培养学生成为具有科学的世界观和方法论、良好的品德和高度的社会责任感，掌握扎实的经济学理论和方法，熟悉中国经济运行和改革实践，具有国际视野和跨文化交流能力，勇于探索，善于发现、分析、解决问题，“品德优秀、基础宽厚、思维创新、能力卓越、专业精深”的高层次复合型人才。</w:t>
      </w:r>
    </w:p>
    <w:p>
      <w:pPr>
        <w:pStyle w:val="4"/>
        <w:spacing w:before="156"/>
      </w:pPr>
      <w:r>
        <w:rPr>
          <w:rFonts w:hint="eastAsia"/>
        </w:rPr>
        <w:t>☆主要课程</w:t>
      </w:r>
    </w:p>
    <w:p>
      <w:pPr>
        <w:adjustRightInd w:val="0"/>
        <w:snapToGrid w:val="0"/>
        <w:ind w:firstLine="420" w:firstLineChars="200"/>
        <w:rPr>
          <w:rFonts w:ascii="宋体" w:hAnsi="宋体"/>
          <w:szCs w:val="21"/>
        </w:rPr>
      </w:pPr>
      <w:r>
        <w:rPr>
          <w:rFonts w:hint="eastAsia" w:ascii="宋体" w:hAnsi="宋体"/>
          <w:szCs w:val="21"/>
        </w:rPr>
        <w:t>经济学原理、应用统计、政治经济学、国际经济学、中级微观经济学、中级宏观经济学、经济思想史、经济学研究方法论、计量经济学、运输经济学、产业经济学等。</w:t>
      </w:r>
    </w:p>
    <w:p>
      <w:pPr>
        <w:pStyle w:val="4"/>
        <w:spacing w:before="156"/>
      </w:pPr>
      <w:r>
        <w:rPr>
          <w:rFonts w:hint="eastAsia"/>
        </w:rPr>
        <w:t>☆升学就业</w:t>
      </w:r>
    </w:p>
    <w:p>
      <w:pPr>
        <w:adjustRightInd w:val="0"/>
        <w:snapToGrid w:val="0"/>
        <w:spacing w:after="156" w:afterLines="50"/>
        <w:ind w:firstLine="420" w:firstLineChars="20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毕业生可在政府机关、科研院所以及包括交通运输、生产流通、金融证券、创新创业和新兴产业的国民经济各部门各类企事业单位从事经济管理工作。</w:t>
      </w:r>
    </w:p>
    <w:p>
      <w:pPr>
        <w:pStyle w:val="3"/>
        <w:spacing w:before="156"/>
      </w:pPr>
      <w:r>
        <w:rPr>
          <w:rFonts w:hint="eastAsia"/>
        </w:rPr>
        <w:t>学院简介</w:t>
      </w:r>
    </w:p>
    <w:p>
      <w:pPr>
        <w:widowControl/>
        <w:shd w:val="clear" w:color="auto" w:fill="FFFFFF"/>
        <w:adjustRightInd w:val="0"/>
        <w:snapToGrid w:val="0"/>
        <w:spacing w:after="156" w:afterLines="50"/>
        <w:ind w:firstLine="420" w:firstLineChars="200"/>
        <w:jc w:val="left"/>
        <w:rPr>
          <w:rFonts w:asciiTheme="minorEastAsia" w:hAnsiTheme="minorEastAsia" w:eastAsiaTheme="minorEastAsia"/>
          <w:szCs w:val="21"/>
        </w:rPr>
      </w:pPr>
      <w:r>
        <w:rPr>
          <w:rFonts w:hint="eastAsia" w:ascii="宋体" w:hAnsi="宋体" w:eastAsia="宋体" w:cs="宋体"/>
          <w:bCs/>
          <w:kern w:val="0"/>
          <w:szCs w:val="21"/>
        </w:rPr>
        <w:t>经济管理学院成立于学校创建之始，是国家高等教育体制改革首批17所试点学院之一。9个本科招生专业获批国家级一流专业建设点，新增数字经济、金融科技和供应链管理3个新专业，拥有包括中国工程院院士、国务院参事、国家级教学名师、国务院学科评议组成员、教育部高等学校教学指导委员会委员、国家“万人计划”哲学社会科学领军人才等在内的一流师资队伍。2022年通过EQUIS，AACSB和AMBA &amp; BGA国际商学院三大认证，成为全球第116所、中国大陆第13所、北京地区第3所、也是国内首个在一年之内通过三大认证的商学院。与60余所国际知名院校建立国际合作关系，致力于培育“品德优秀、基础宽厚、思维创新、能力卓越、专业精深”的领军人才，矢志打造引领中国产业发展的商学院。</w:t>
      </w:r>
    </w:p>
    <w:p>
      <w:pPr>
        <w:pStyle w:val="3"/>
        <w:spacing w:before="156"/>
        <w:rPr>
          <w:color w:val="000000" w:themeColor="text1"/>
          <w14:textFill>
            <w14:solidFill>
              <w14:schemeClr w14:val="tx1"/>
            </w14:solidFill>
          </w14:textFill>
        </w:rPr>
      </w:pPr>
      <w:r>
        <w:rPr>
          <w:rFonts w:hint="eastAsia"/>
          <w:color w:val="000000" w:themeColor="text1"/>
          <w14:textFill>
            <w14:solidFill>
              <w14:schemeClr w14:val="tx1"/>
            </w14:solidFill>
          </w14:textFill>
        </w:rPr>
        <w:t>突出优势和特色</w:t>
      </w:r>
    </w:p>
    <w:p>
      <w:pPr>
        <w:adjustRightInd w:val="0"/>
        <w:snapToGrid w:val="0"/>
        <w:ind w:firstLine="422" w:firstLineChars="200"/>
        <w:rPr>
          <w:rFonts w:ascii="宋体" w:hAnsi="宋体"/>
          <w:bCs/>
          <w:szCs w:val="21"/>
        </w:rPr>
      </w:pPr>
      <w:bookmarkStart w:id="0" w:name="_Toc514171277"/>
      <w:r>
        <w:rPr>
          <w:rFonts w:hint="eastAsia" w:ascii="宋体" w:hAnsi="宋体" w:cs="Arial"/>
          <w:b/>
          <w:szCs w:val="21"/>
        </w:rPr>
        <w:t>师资</w:t>
      </w:r>
      <w:r>
        <w:rPr>
          <w:rFonts w:hint="eastAsia" w:ascii="宋体" w:hAnsi="宋体" w:cs="Arial"/>
          <w:b/>
          <w:szCs w:val="21"/>
          <w:lang w:eastAsia="zh-CN"/>
        </w:rPr>
        <w:t>团队卓越</w:t>
      </w:r>
      <w:r>
        <w:rPr>
          <w:rFonts w:hint="eastAsia" w:ascii="宋体" w:hAnsi="宋体"/>
          <w:bCs/>
          <w:szCs w:val="21"/>
        </w:rPr>
        <w:t>：拥有包括工程院院士、</w:t>
      </w:r>
      <w:r>
        <w:rPr>
          <w:rFonts w:hint="eastAsia" w:ascii="宋体" w:hAnsi="宋体" w:cs="宋体"/>
          <w:bCs/>
          <w:kern w:val="0"/>
          <w:szCs w:val="21"/>
        </w:rPr>
        <w:t>国务院参事、</w:t>
      </w:r>
      <w:r>
        <w:rPr>
          <w:rFonts w:hint="eastAsia" w:ascii="宋体" w:hAnsi="宋体"/>
          <w:bCs/>
          <w:szCs w:val="21"/>
        </w:rPr>
        <w:t>国家级教学名师、北京市教学名师、北京市课程思政教学名师在内的顶尖师资队伍。</w:t>
      </w:r>
    </w:p>
    <w:p>
      <w:pPr>
        <w:adjustRightInd w:val="0"/>
        <w:snapToGrid w:val="0"/>
        <w:ind w:firstLine="422" w:firstLineChars="200"/>
        <w:rPr>
          <w:rFonts w:ascii="宋体" w:hAnsi="宋体"/>
          <w:bCs/>
          <w:color w:val="000000"/>
          <w:szCs w:val="21"/>
        </w:rPr>
      </w:pPr>
      <w:r>
        <w:rPr>
          <w:rFonts w:hint="eastAsia" w:ascii="宋体" w:hAnsi="宋体" w:cs="Arial"/>
          <w:b/>
          <w:szCs w:val="21"/>
        </w:rPr>
        <w:t>专业体系</w:t>
      </w:r>
      <w:r>
        <w:rPr>
          <w:rFonts w:hint="eastAsia" w:ascii="宋体" w:hAnsi="宋体" w:cs="Arial"/>
          <w:b/>
          <w:szCs w:val="21"/>
          <w:lang w:eastAsia="zh-CN"/>
        </w:rPr>
        <w:t>完备</w:t>
      </w:r>
      <w:r>
        <w:rPr>
          <w:rFonts w:hint="eastAsia" w:ascii="宋体" w:hAnsi="宋体"/>
          <w:bCs/>
          <w:szCs w:val="21"/>
        </w:rPr>
        <w:t>：</w:t>
      </w:r>
      <w:r>
        <w:rPr>
          <w:rFonts w:hint="eastAsia" w:ascii="宋体" w:hAnsi="宋体"/>
          <w:bCs/>
          <w:color w:val="000000"/>
          <w:szCs w:val="21"/>
        </w:rPr>
        <w:t>拥有3个一级学科从本科、硕士、博士到博士后流动站的一体</w:t>
      </w:r>
      <w:r>
        <w:rPr>
          <w:rFonts w:hint="eastAsia" w:ascii="宋体" w:hAnsi="宋体" w:cs="宋体"/>
          <w:bCs/>
          <w:kern w:val="0"/>
          <w:szCs w:val="21"/>
        </w:rPr>
        <w:t>化学科体系，是国内学科、专业门类最为齐全的经管学院之一。9个本科招生专业获国家级一流专业建设点，新增数字经济、金融科技和供应链管理3个新专业。</w:t>
      </w:r>
    </w:p>
    <w:p>
      <w:pPr>
        <w:adjustRightInd w:val="0"/>
        <w:snapToGrid w:val="0"/>
        <w:ind w:firstLine="422" w:firstLineChars="200"/>
        <w:rPr>
          <w:rFonts w:ascii="宋体" w:hAnsi="宋体"/>
          <w:bCs/>
          <w:szCs w:val="21"/>
        </w:rPr>
      </w:pPr>
      <w:r>
        <w:rPr>
          <w:rFonts w:hint="eastAsia" w:ascii="宋体" w:hAnsi="宋体" w:cs="Arial"/>
          <w:b/>
          <w:szCs w:val="21"/>
        </w:rPr>
        <w:t>科研实力</w:t>
      </w:r>
      <w:r>
        <w:rPr>
          <w:rFonts w:hint="eastAsia" w:ascii="宋体" w:hAnsi="宋体" w:cs="Arial"/>
          <w:b/>
          <w:szCs w:val="21"/>
          <w:lang w:eastAsia="zh-CN"/>
        </w:rPr>
        <w:t>雄厚</w:t>
      </w:r>
      <w:r>
        <w:rPr>
          <w:rFonts w:hint="eastAsia" w:ascii="宋体" w:hAnsi="宋体"/>
          <w:b/>
          <w:bCs/>
          <w:szCs w:val="21"/>
        </w:rPr>
        <w:t>：</w:t>
      </w:r>
      <w:r>
        <w:rPr>
          <w:rFonts w:hint="eastAsia" w:ascii="宋体" w:hAnsi="宋体"/>
          <w:bCs/>
          <w:szCs w:val="21"/>
        </w:rPr>
        <w:t>过去5年，学院依托</w:t>
      </w:r>
      <w:r>
        <w:rPr>
          <w:rFonts w:hint="eastAsia" w:ascii="宋体" w:hAnsi="宋体" w:eastAsia="宋体" w:cs="Times New Roman"/>
          <w:bCs/>
          <w:color w:val="000000"/>
          <w:szCs w:val="21"/>
        </w:rPr>
        <w:t>8个国家级和省部级科研平台，</w:t>
      </w:r>
      <w:r>
        <w:rPr>
          <w:rFonts w:hint="eastAsia" w:ascii="宋体" w:hAnsi="宋体" w:eastAsia="宋体" w:cs="Times New Roman"/>
          <w:bCs/>
          <w:color w:val="000000"/>
          <w:szCs w:val="21"/>
          <w:highlight w:val="none"/>
        </w:rPr>
        <w:t>科研经费累计超过3亿元，科研项目累计1200余项，发表学术论文2600余篇。</w:t>
      </w:r>
    </w:p>
    <w:p>
      <w:pPr>
        <w:adjustRightInd w:val="0"/>
        <w:snapToGrid w:val="0"/>
        <w:ind w:firstLine="422" w:firstLineChars="200"/>
        <w:rPr>
          <w:rFonts w:ascii="宋体" w:hAnsi="宋体"/>
          <w:color w:val="000000"/>
          <w:szCs w:val="21"/>
        </w:rPr>
      </w:pPr>
      <w:r>
        <w:rPr>
          <w:rFonts w:hint="eastAsia" w:ascii="宋体" w:hAnsi="宋体" w:cs="Arial"/>
          <w:b/>
          <w:szCs w:val="21"/>
          <w:lang w:eastAsia="zh-CN"/>
        </w:rPr>
        <w:t>高水平的国际交流平台</w:t>
      </w:r>
      <w:r>
        <w:rPr>
          <w:rFonts w:hint="eastAsia" w:ascii="宋体" w:hAnsi="宋体"/>
          <w:b/>
          <w:bCs/>
          <w:szCs w:val="21"/>
        </w:rPr>
        <w:t>：</w:t>
      </w:r>
      <w:r>
        <w:rPr>
          <w:rFonts w:hint="eastAsia" w:ascii="宋体" w:hAnsi="宋体"/>
          <w:bCs/>
          <w:szCs w:val="21"/>
        </w:rPr>
        <w:t>通过EQUIS，AASCB和AMBA &amp; BGA三大认证，成为全球第116所、中国大陆第13所、北京地区第3所、也是国内首个在一年之内通过三大国际认证的商学院，</w:t>
      </w:r>
      <w:r>
        <w:rPr>
          <w:rFonts w:hint="eastAsia" w:ascii="宋体" w:hAnsi="宋体"/>
          <w:color w:val="000000"/>
          <w:szCs w:val="21"/>
        </w:rPr>
        <w:t>目前与60余所国际知名院校建立了100余个合作项目。</w:t>
      </w:r>
    </w:p>
    <w:p>
      <w:pPr>
        <w:adjustRightInd w:val="0"/>
        <w:snapToGrid w:val="0"/>
        <w:ind w:firstLine="422" w:firstLineChars="200"/>
        <w:rPr>
          <w:rFonts w:hint="eastAsia" w:ascii="宋体" w:hAnsi="宋体"/>
        </w:rPr>
      </w:pPr>
      <w:r>
        <w:rPr>
          <w:rFonts w:hint="eastAsia" w:ascii="宋体" w:hAnsi="宋体" w:cs="Arial"/>
          <w:b/>
          <w:bCs/>
          <w:lang w:eastAsia="zh-CN"/>
        </w:rPr>
        <w:t>高融合度的人才培养模式</w:t>
      </w:r>
      <w:r>
        <w:rPr>
          <w:rFonts w:hint="eastAsia" w:ascii="宋体" w:hAnsi="宋体"/>
        </w:rPr>
        <w:t>：全程高能</w:t>
      </w:r>
      <w:r>
        <w:rPr>
          <w:rFonts w:hint="eastAsia" w:ascii="宋体" w:hAnsi="宋体"/>
          <w:lang w:eastAsia="zh-CN"/>
        </w:rPr>
        <w:t>、跨界融合</w:t>
      </w:r>
      <w:r>
        <w:rPr>
          <w:rFonts w:hint="eastAsia" w:ascii="宋体" w:hAnsi="宋体"/>
        </w:rPr>
        <w:t>的三大育人体系：“通专结合”的研究型教学体系、创新能力为导向的科研竞赛实践体系和“五位一体”全过程德育育人体系。</w:t>
      </w:r>
    </w:p>
    <w:p>
      <w:pPr>
        <w:adjustRightInd w:val="0"/>
        <w:snapToGrid w:val="0"/>
        <w:ind w:firstLine="422" w:firstLineChars="200"/>
        <w:rPr>
          <w:rFonts w:ascii="宋体" w:hAnsi="宋体" w:cs="Arial"/>
          <w:b/>
          <w:szCs w:val="21"/>
        </w:rPr>
      </w:pPr>
      <w:r>
        <w:rPr>
          <w:rFonts w:hint="eastAsia" w:ascii="宋体" w:hAnsi="宋体" w:eastAsia="宋体" w:cs="Arial"/>
          <w:b/>
          <w:bCs/>
          <w:lang w:eastAsia="zh-CN"/>
        </w:rPr>
        <w:t>高质量的人才培养成效</w:t>
      </w:r>
      <w:r>
        <w:rPr>
          <w:rFonts w:hint="eastAsia" w:ascii="宋体" w:hAnsi="宋体" w:eastAsia="宋体" w:cs="Arial"/>
          <w:b/>
          <w:bCs/>
        </w:rPr>
        <w:t>：</w:t>
      </w:r>
      <w:r>
        <w:rPr>
          <w:rFonts w:hint="eastAsia" w:ascii="宋体" w:hAnsi="宋体"/>
        </w:rPr>
        <w:t>近三年平均总深造率</w:t>
      </w:r>
      <w:r>
        <w:rPr>
          <w:rFonts w:hint="eastAsia" w:ascii="宋体" w:hAnsi="宋体"/>
          <w:lang w:val="en-US" w:eastAsia="zh-CN"/>
        </w:rPr>
        <w:t>57.7</w:t>
      </w:r>
      <w:r>
        <w:rPr>
          <w:rFonts w:hint="eastAsia" w:ascii="宋体" w:hAnsi="宋体"/>
        </w:rPr>
        <w:t>%，其中</w:t>
      </w:r>
      <w:r>
        <w:rPr>
          <w:rFonts w:hint="eastAsia" w:ascii="宋体" w:hAnsi="宋体"/>
          <w:lang w:eastAsia="zh-CN"/>
        </w:rPr>
        <w:t>国内深造</w:t>
      </w:r>
      <w:r>
        <w:rPr>
          <w:rFonts w:hint="eastAsia" w:ascii="宋体" w:hAnsi="宋体"/>
        </w:rPr>
        <w:t>率</w:t>
      </w:r>
      <w:r>
        <w:rPr>
          <w:rFonts w:hint="eastAsia" w:ascii="宋体" w:hAnsi="宋体"/>
          <w:lang w:val="en-US" w:eastAsia="zh-CN"/>
        </w:rPr>
        <w:t>38.6</w:t>
      </w:r>
      <w:r>
        <w:rPr>
          <w:rFonts w:hint="eastAsia" w:ascii="宋体" w:hAnsi="宋体"/>
        </w:rPr>
        <w:t>%、</w:t>
      </w:r>
      <w:r>
        <w:rPr>
          <w:rFonts w:hint="eastAsia" w:ascii="宋体" w:hAnsi="宋体"/>
          <w:lang w:eastAsia="zh-CN"/>
        </w:rPr>
        <w:t>国外深造</w:t>
      </w:r>
      <w:r>
        <w:rPr>
          <w:rFonts w:hint="eastAsia" w:ascii="宋体" w:hAnsi="宋体"/>
        </w:rPr>
        <w:t>率</w:t>
      </w:r>
      <w:r>
        <w:rPr>
          <w:rFonts w:hint="eastAsia" w:ascii="宋体" w:hAnsi="宋体"/>
          <w:lang w:val="en-US" w:eastAsia="zh-CN"/>
        </w:rPr>
        <w:t>19.1</w:t>
      </w:r>
      <w:r>
        <w:rPr>
          <w:rFonts w:hint="eastAsia" w:ascii="宋体" w:hAnsi="宋体"/>
        </w:rPr>
        <w:t>%。国内深造</w:t>
      </w:r>
      <w:r>
        <w:rPr>
          <w:rFonts w:hint="eastAsia" w:ascii="宋体" w:hAnsi="宋体"/>
          <w:lang w:eastAsia="zh-CN"/>
        </w:rPr>
        <w:t>学校包括</w:t>
      </w:r>
      <w:r>
        <w:rPr>
          <w:rFonts w:hint="eastAsia" w:ascii="宋体" w:hAnsi="宋体"/>
        </w:rPr>
        <w:t>清华、北大、人大等，国外深造</w:t>
      </w:r>
      <w:r>
        <w:rPr>
          <w:rFonts w:hint="eastAsia" w:ascii="宋体" w:hAnsi="宋体"/>
          <w:lang w:eastAsia="zh-CN"/>
        </w:rPr>
        <w:t>学校</w:t>
      </w:r>
      <w:r>
        <w:rPr>
          <w:rFonts w:hint="eastAsia" w:ascii="宋体" w:hAnsi="宋体"/>
        </w:rPr>
        <w:t>包括哈佛大学、芝加哥大学等。</w:t>
      </w:r>
    </w:p>
    <w:p>
      <w:pPr>
        <w:adjustRightInd w:val="0"/>
        <w:snapToGrid w:val="0"/>
        <w:rPr>
          <w:rFonts w:hint="eastAsia" w:ascii="宋体" w:hAnsi="宋体"/>
        </w:rPr>
      </w:pPr>
    </w:p>
    <w:p>
      <w:pPr>
        <w:pStyle w:val="3"/>
        <w:spacing w:before="156"/>
      </w:pPr>
      <w:r>
        <w:rPr>
          <w:rFonts w:hint="eastAsia" w:ascii="宋体" w:hAnsi="宋体"/>
        </w:rPr>
        <w:t>师资力量</w:t>
      </w:r>
      <w:bookmarkEnd w:id="0"/>
    </w:p>
    <w:tbl>
      <w:tblPr>
        <w:tblStyle w:val="9"/>
        <w:tblW w:w="837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7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20" w:type="dxa"/>
            <w:noWrap w:val="0"/>
            <w:vAlign w:val="center"/>
          </w:tcPr>
          <w:p>
            <w:pPr>
              <w:widowControl/>
              <w:adjustRightInd w:val="0"/>
              <w:snapToGrid w:val="0"/>
              <w:jc w:val="center"/>
              <w:rPr>
                <w:rFonts w:ascii="宋体" w:hAnsi="宋体" w:cs="宋体"/>
                <w:b/>
                <w:bCs/>
                <w:kern w:val="0"/>
                <w:szCs w:val="21"/>
                <w:highlight w:val="yellow"/>
              </w:rPr>
            </w:pPr>
            <w:r>
              <w:rPr>
                <w:rFonts w:hint="eastAsia" w:ascii="宋体" w:hAnsi="宋体" w:cs="宋体"/>
                <w:b/>
                <w:bCs/>
                <w:kern w:val="0"/>
                <w:szCs w:val="21"/>
              </w:rPr>
              <w:t>知名学者</w:t>
            </w:r>
          </w:p>
        </w:tc>
        <w:tc>
          <w:tcPr>
            <w:tcW w:w="7059" w:type="dxa"/>
            <w:noWrap w:val="0"/>
            <w:vAlign w:val="center"/>
          </w:tcPr>
          <w:p>
            <w:pPr>
              <w:widowControl/>
              <w:adjustRightInd w:val="0"/>
              <w:snapToGrid w:val="0"/>
              <w:rPr>
                <w:rFonts w:hint="eastAsia" w:ascii="宋体" w:hAnsi="宋体" w:cs="宋体"/>
                <w:kern w:val="0"/>
                <w:szCs w:val="21"/>
              </w:rPr>
            </w:pPr>
            <w:r>
              <w:rPr>
                <w:rFonts w:hint="eastAsia" w:ascii="宋体" w:hAnsi="宋体" w:cs="宋体"/>
                <w:kern w:val="0"/>
                <w:szCs w:val="21"/>
              </w:rPr>
              <w:t>中国工程院院士：1人</w:t>
            </w:r>
          </w:p>
          <w:p>
            <w:pPr>
              <w:widowControl/>
              <w:adjustRightInd w:val="0"/>
              <w:snapToGrid w:val="0"/>
              <w:rPr>
                <w:rFonts w:hint="eastAsia" w:ascii="宋体" w:hAnsi="宋体" w:cs="宋体"/>
                <w:kern w:val="0"/>
                <w:szCs w:val="21"/>
              </w:rPr>
            </w:pPr>
            <w:r>
              <w:rPr>
                <w:rFonts w:hint="eastAsia" w:ascii="宋体" w:hAnsi="宋体" w:cs="宋体"/>
                <w:kern w:val="0"/>
                <w:szCs w:val="21"/>
              </w:rPr>
              <w:t>国务院参事</w:t>
            </w:r>
            <w:r>
              <w:rPr>
                <w:rFonts w:ascii="宋体" w:hAnsi="宋体" w:cs="宋体"/>
                <w:kern w:val="0"/>
                <w:szCs w:val="21"/>
              </w:rPr>
              <w:t>:</w:t>
            </w:r>
            <w:r>
              <w:rPr>
                <w:rFonts w:hint="eastAsia" w:ascii="宋体" w:hAnsi="宋体" w:cs="宋体"/>
                <w:kern w:val="0"/>
                <w:szCs w:val="21"/>
              </w:rPr>
              <w:t>1人</w:t>
            </w:r>
          </w:p>
          <w:p>
            <w:pPr>
              <w:widowControl/>
              <w:adjustRightInd w:val="0"/>
              <w:snapToGrid w:val="0"/>
              <w:rPr>
                <w:rFonts w:ascii="宋体" w:hAnsi="宋体" w:cs="宋体"/>
                <w:kern w:val="0"/>
                <w:szCs w:val="21"/>
              </w:rPr>
            </w:pPr>
            <w:r>
              <w:rPr>
                <w:rFonts w:hint="eastAsia" w:ascii="宋体" w:hAnsi="宋体" w:cs="宋体"/>
                <w:kern w:val="0"/>
                <w:szCs w:val="21"/>
              </w:rPr>
              <w:t>国务院学科评议组成员：</w:t>
            </w:r>
            <w:r>
              <w:rPr>
                <w:rFonts w:ascii="宋体" w:hAnsi="宋体" w:cs="宋体"/>
                <w:kern w:val="0"/>
                <w:szCs w:val="21"/>
              </w:rPr>
              <w:t>3</w:t>
            </w:r>
            <w:r>
              <w:rPr>
                <w:rFonts w:hint="eastAsia" w:ascii="宋体" w:hAnsi="宋体" w:cs="宋体"/>
                <w:kern w:val="0"/>
                <w:szCs w:val="21"/>
              </w:rPr>
              <w:t>人</w:t>
            </w:r>
          </w:p>
          <w:p>
            <w:pPr>
              <w:widowControl/>
              <w:adjustRightInd w:val="0"/>
              <w:snapToGrid w:val="0"/>
              <w:rPr>
                <w:rFonts w:ascii="宋体" w:hAnsi="宋体" w:cs="宋体"/>
                <w:kern w:val="0"/>
                <w:szCs w:val="21"/>
              </w:rPr>
            </w:pPr>
            <w:r>
              <w:rPr>
                <w:rFonts w:hint="eastAsia" w:ascii="宋体" w:hAnsi="宋体" w:cs="宋体"/>
                <w:kern w:val="0"/>
                <w:szCs w:val="21"/>
              </w:rPr>
              <w:t>教育部高等学校教学指导委员会委员：8人</w:t>
            </w:r>
          </w:p>
          <w:p>
            <w:pPr>
              <w:widowControl/>
              <w:adjustRightInd w:val="0"/>
              <w:snapToGrid w:val="0"/>
              <w:rPr>
                <w:rFonts w:ascii="宋体" w:hAnsi="宋体" w:cs="宋体"/>
                <w:kern w:val="0"/>
                <w:szCs w:val="21"/>
              </w:rPr>
            </w:pPr>
            <w:r>
              <w:rPr>
                <w:rFonts w:hint="eastAsia" w:ascii="宋体" w:hAnsi="宋体" w:cs="宋体"/>
                <w:kern w:val="0"/>
                <w:szCs w:val="21"/>
              </w:rPr>
              <w:t>入选国家级高层次人才工程</w:t>
            </w:r>
            <w:r>
              <w:rPr>
                <w:rFonts w:ascii="宋体" w:hAnsi="宋体" w:cs="宋体"/>
                <w:kern w:val="0"/>
                <w:szCs w:val="21"/>
              </w:rPr>
              <w:t>9</w:t>
            </w:r>
            <w:r>
              <w:rPr>
                <w:rFonts w:hint="eastAsia" w:ascii="宋体" w:hAnsi="宋体" w:cs="宋体"/>
                <w:kern w:val="0"/>
                <w:szCs w:val="21"/>
              </w:rPr>
              <w:t>人次</w:t>
            </w:r>
          </w:p>
          <w:p>
            <w:pPr>
              <w:widowControl/>
              <w:adjustRightInd w:val="0"/>
              <w:snapToGrid w:val="0"/>
              <w:rPr>
                <w:rFonts w:ascii="宋体" w:hAnsi="宋体" w:cs="宋体"/>
                <w:kern w:val="0"/>
                <w:szCs w:val="21"/>
              </w:rPr>
            </w:pPr>
            <w:r>
              <w:rPr>
                <w:rFonts w:ascii="宋体" w:hAnsi="宋体" w:cs="宋体"/>
                <w:kern w:val="0"/>
                <w:szCs w:val="21"/>
              </w:rPr>
              <w:t>中宣部宣传思想文化青年英才</w:t>
            </w: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人</w:t>
            </w:r>
          </w:p>
          <w:p>
            <w:pPr>
              <w:widowControl/>
              <w:adjustRightInd w:val="0"/>
              <w:snapToGrid w:val="0"/>
              <w:rPr>
                <w:rFonts w:hint="eastAsia" w:ascii="宋体" w:hAnsi="宋体" w:cs="宋体"/>
                <w:kern w:val="0"/>
                <w:szCs w:val="21"/>
              </w:rPr>
            </w:pPr>
            <w:r>
              <w:rPr>
                <w:rFonts w:hint="eastAsia" w:ascii="宋体" w:hAnsi="宋体" w:cs="宋体"/>
                <w:kern w:val="0"/>
                <w:szCs w:val="21"/>
              </w:rPr>
              <w:t>入选国家自然科学优秀基金和海外优秀基金：2人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20" w:type="dxa"/>
            <w:noWrap w:val="0"/>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名师</w:t>
            </w:r>
          </w:p>
        </w:tc>
        <w:tc>
          <w:tcPr>
            <w:tcW w:w="7059" w:type="dxa"/>
            <w:noWrap w:val="0"/>
            <w:vAlign w:val="center"/>
          </w:tcPr>
          <w:p>
            <w:pPr>
              <w:rPr>
                <w:rFonts w:hint="eastAsia"/>
              </w:rPr>
            </w:pPr>
            <w:r>
              <w:rPr>
                <w:rFonts w:hint="eastAsia"/>
              </w:rPr>
              <w:t>国家级教学名师：1人</w:t>
            </w:r>
          </w:p>
          <w:p>
            <w:r>
              <w:rPr>
                <w:rFonts w:hint="eastAsia"/>
              </w:rPr>
              <w:t>北京市教学名师：9人</w:t>
            </w:r>
          </w:p>
          <w:p>
            <w:r>
              <w:rPr>
                <w:rFonts w:hint="eastAsia"/>
              </w:rPr>
              <w:t>北京市课程思政教学名师：1人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20" w:type="dxa"/>
            <w:noWrap w:val="0"/>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荣誉团队</w:t>
            </w:r>
          </w:p>
        </w:tc>
        <w:tc>
          <w:tcPr>
            <w:tcW w:w="7059" w:type="dxa"/>
            <w:noWrap w:val="0"/>
            <w:vAlign w:val="center"/>
          </w:tcPr>
          <w:p>
            <w:r>
              <w:rPr>
                <w:rFonts w:hint="eastAsia"/>
              </w:rPr>
              <w:t>国家级优秀教学团队：1个</w:t>
            </w:r>
          </w:p>
          <w:p>
            <w:pPr>
              <w:rPr>
                <w:rFonts w:cs="宋体"/>
                <w:kern w:val="0"/>
              </w:rPr>
            </w:pPr>
            <w:r>
              <w:rPr>
                <w:rFonts w:hint="eastAsia"/>
              </w:rPr>
              <w:t>北京市优秀教学团队：3个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320" w:type="dxa"/>
            <w:noWrap w:val="0"/>
            <w:vAlign w:val="center"/>
          </w:tcPr>
          <w:p>
            <w:pPr>
              <w:widowControl/>
              <w:adjustRightInd w:val="0"/>
              <w:snapToGrid w:val="0"/>
              <w:jc w:val="center"/>
              <w:rPr>
                <w:rFonts w:ascii="宋体" w:hAnsi="宋体" w:cs="宋体"/>
                <w:b/>
                <w:bCs/>
                <w:kern w:val="0"/>
                <w:szCs w:val="21"/>
              </w:rPr>
            </w:pPr>
            <w:r>
              <w:rPr>
                <w:rFonts w:hint="eastAsia" w:ascii="宋体" w:hAnsi="宋体" w:cs="宋体"/>
                <w:b/>
                <w:bCs/>
                <w:kern w:val="0"/>
                <w:szCs w:val="21"/>
              </w:rPr>
              <w:t>教师职称</w:t>
            </w:r>
          </w:p>
        </w:tc>
        <w:tc>
          <w:tcPr>
            <w:tcW w:w="7059" w:type="dxa"/>
            <w:noWrap w:val="0"/>
            <w:vAlign w:val="center"/>
          </w:tcPr>
          <w:p>
            <w:r>
              <w:rPr>
                <w:rFonts w:hint="eastAsia"/>
              </w:rPr>
              <w:t>教授73人，副教授99人</w:t>
            </w:r>
          </w:p>
          <w:p>
            <w:r>
              <w:rPr>
                <w:rFonts w:hint="eastAsia" w:eastAsia="宋体" w:cs="Times New Roman"/>
              </w:rPr>
              <w:t>博士生导师58人，硕士生导师160人，具</w:t>
            </w:r>
            <w:r>
              <w:rPr>
                <w:rFonts w:hint="eastAsia"/>
              </w:rPr>
              <w:t>有博士学位的教师202人，占89%</w:t>
            </w:r>
          </w:p>
        </w:tc>
      </w:tr>
    </w:tbl>
    <w:p>
      <w:pPr>
        <w:adjustRightInd w:val="0"/>
        <w:snapToGrid w:val="0"/>
        <w:rPr>
          <w:rFonts w:ascii="宋体" w:hAnsi="宋体"/>
          <w:color w:val="0000CC"/>
          <w:szCs w:val="21"/>
          <w:highlight w:val="yellow"/>
        </w:rPr>
      </w:pPr>
    </w:p>
    <w:p>
      <w:pPr>
        <w:pStyle w:val="3"/>
        <w:spacing w:before="156"/>
      </w:pPr>
      <w:r>
        <w:rPr>
          <w:rFonts w:hint="eastAsia"/>
        </w:rPr>
        <w:t>经济学第二学士学位专业咨询方式</w:t>
      </w:r>
    </w:p>
    <w:p>
      <w:pPr>
        <w:rPr>
          <w:rFonts w:hint="default" w:asciiTheme="minorEastAsia" w:hAnsiTheme="minorEastAsia" w:eastAsiaTheme="minorEastAsia"/>
          <w:lang w:val="en-US" w:eastAsia="zh-CN"/>
        </w:rPr>
      </w:pPr>
      <w:r>
        <w:rPr>
          <w:rFonts w:hint="eastAsia" w:asciiTheme="minorEastAsia" w:hAnsiTheme="minorEastAsia" w:eastAsiaTheme="minorEastAsia"/>
        </w:rPr>
        <w:t>电 话：</w:t>
      </w:r>
      <w:r>
        <w:rPr>
          <w:rFonts w:hint="eastAsia" w:asciiTheme="minorEastAsia" w:hAnsiTheme="minorEastAsia" w:eastAsiaTheme="minorEastAsia"/>
          <w:lang w:val="en-US" w:eastAsia="zh-CN"/>
        </w:rPr>
        <w:t>010-51687045</w:t>
      </w:r>
    </w:p>
    <w:p>
      <w:pPr>
        <w:rPr>
          <w:rFonts w:asciiTheme="minorEastAsia" w:hAnsiTheme="minorEastAsia" w:eastAsiaTheme="minorEastAsia"/>
        </w:rPr>
      </w:pPr>
      <w:r>
        <w:rPr>
          <w:rFonts w:hint="eastAsia" w:asciiTheme="minorEastAsia" w:hAnsiTheme="minorEastAsia" w:eastAsiaTheme="minorEastAsia"/>
        </w:rPr>
        <w:t>Q</w:t>
      </w:r>
      <w:r>
        <w:rPr>
          <w:rFonts w:asciiTheme="minorEastAsia" w:hAnsiTheme="minorEastAsia" w:eastAsiaTheme="minorEastAsia"/>
        </w:rPr>
        <w:t xml:space="preserve">Q </w:t>
      </w:r>
      <w:r>
        <w:rPr>
          <w:rFonts w:hint="eastAsia" w:asciiTheme="minorEastAsia" w:hAnsiTheme="minorEastAsia" w:eastAsiaTheme="minorEastAsia"/>
        </w:rPr>
        <w:t>群：</w:t>
      </w:r>
      <w:r>
        <w:rPr>
          <w:rFonts w:hint="eastAsia" w:ascii="宋体" w:hAnsi="宋体" w:cs="宋体"/>
          <w:bCs/>
          <w:kern w:val="0"/>
          <w:szCs w:val="21"/>
        </w:rPr>
        <w:t>128634695</w:t>
      </w:r>
      <w:r>
        <w:rPr>
          <w:rFonts w:hint="eastAsia" w:asciiTheme="minorEastAsia" w:hAnsiTheme="minorEastAsia" w:eastAsiaTheme="minorEastAsia"/>
        </w:rPr>
        <w:t xml:space="preserve"> </w:t>
      </w:r>
    </w:p>
    <w:p>
      <w:pPr>
        <w:jc w:val="center"/>
        <w:rPr>
          <w:rFonts w:hint="eastAsia"/>
        </w:rPr>
      </w:pPr>
    </w:p>
    <w:p>
      <w:pPr>
        <w:jc w:val="center"/>
        <w:rPr>
          <w:rFonts w:hint="eastAsia"/>
        </w:rPr>
      </w:pPr>
    </w:p>
    <w:p>
      <w:pPr>
        <w:jc w:val="center"/>
        <w:rPr>
          <w:rFonts w:hint="eastAsia"/>
        </w:rPr>
      </w:pPr>
      <w:bookmarkStart w:id="1" w:name="_GoBack"/>
      <w:bookmarkEnd w:id="1"/>
    </w:p>
    <w:sectPr>
      <w:pgSz w:w="11906" w:h="16838"/>
      <w:pgMar w:top="8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宋体棦....">
    <w:altName w:val="宋体"/>
    <w:panose1 w:val="00000000000000000000"/>
    <w:charset w:val="86"/>
    <w:family w:val="roma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kwNGY0MTIzNGRiMTA4ZWZlMmEzMTEyYTE1MjQyNWUifQ=="/>
  </w:docVars>
  <w:rsids>
    <w:rsidRoot w:val="001B45A8"/>
    <w:rsid w:val="000021BD"/>
    <w:rsid w:val="00035B80"/>
    <w:rsid w:val="0005127B"/>
    <w:rsid w:val="0007129B"/>
    <w:rsid w:val="00082074"/>
    <w:rsid w:val="0008770E"/>
    <w:rsid w:val="000A0442"/>
    <w:rsid w:val="000A7AF4"/>
    <w:rsid w:val="000F1D5C"/>
    <w:rsid w:val="000F6E41"/>
    <w:rsid w:val="00120127"/>
    <w:rsid w:val="001223EA"/>
    <w:rsid w:val="001240B7"/>
    <w:rsid w:val="001265A0"/>
    <w:rsid w:val="00142A46"/>
    <w:rsid w:val="0017101D"/>
    <w:rsid w:val="001A1D36"/>
    <w:rsid w:val="001B4430"/>
    <w:rsid w:val="001B45A8"/>
    <w:rsid w:val="001C0B04"/>
    <w:rsid w:val="001D103E"/>
    <w:rsid w:val="001D3741"/>
    <w:rsid w:val="001D6E35"/>
    <w:rsid w:val="001E32A2"/>
    <w:rsid w:val="001E5E14"/>
    <w:rsid w:val="001F74AA"/>
    <w:rsid w:val="002751E5"/>
    <w:rsid w:val="00281C42"/>
    <w:rsid w:val="00281F75"/>
    <w:rsid w:val="00293C02"/>
    <w:rsid w:val="002D1C7A"/>
    <w:rsid w:val="002D3296"/>
    <w:rsid w:val="002E3E10"/>
    <w:rsid w:val="002F6031"/>
    <w:rsid w:val="003064D4"/>
    <w:rsid w:val="00315D0D"/>
    <w:rsid w:val="00316501"/>
    <w:rsid w:val="003370F5"/>
    <w:rsid w:val="00345EC8"/>
    <w:rsid w:val="003460AB"/>
    <w:rsid w:val="0035392E"/>
    <w:rsid w:val="00355E51"/>
    <w:rsid w:val="003A37C4"/>
    <w:rsid w:val="003B527A"/>
    <w:rsid w:val="003D11CD"/>
    <w:rsid w:val="0040358E"/>
    <w:rsid w:val="00406891"/>
    <w:rsid w:val="00471F1A"/>
    <w:rsid w:val="00486863"/>
    <w:rsid w:val="00493BB9"/>
    <w:rsid w:val="004D1E9C"/>
    <w:rsid w:val="004F4214"/>
    <w:rsid w:val="004F5868"/>
    <w:rsid w:val="005056EB"/>
    <w:rsid w:val="00534AA4"/>
    <w:rsid w:val="005648F8"/>
    <w:rsid w:val="00571DC2"/>
    <w:rsid w:val="005862FE"/>
    <w:rsid w:val="005B3E85"/>
    <w:rsid w:val="005C0686"/>
    <w:rsid w:val="005C2FF5"/>
    <w:rsid w:val="00604D60"/>
    <w:rsid w:val="00605C1C"/>
    <w:rsid w:val="00606EDE"/>
    <w:rsid w:val="0064332B"/>
    <w:rsid w:val="00646E79"/>
    <w:rsid w:val="006538F3"/>
    <w:rsid w:val="006662EA"/>
    <w:rsid w:val="0066783B"/>
    <w:rsid w:val="006C542B"/>
    <w:rsid w:val="006D43D9"/>
    <w:rsid w:val="006D5B81"/>
    <w:rsid w:val="006E153A"/>
    <w:rsid w:val="006E2E8D"/>
    <w:rsid w:val="006F2791"/>
    <w:rsid w:val="00715F0C"/>
    <w:rsid w:val="00726B69"/>
    <w:rsid w:val="00747E98"/>
    <w:rsid w:val="00754142"/>
    <w:rsid w:val="00756C35"/>
    <w:rsid w:val="0078015E"/>
    <w:rsid w:val="00790B3A"/>
    <w:rsid w:val="007B7789"/>
    <w:rsid w:val="007C1C3C"/>
    <w:rsid w:val="007C48F7"/>
    <w:rsid w:val="007C67AC"/>
    <w:rsid w:val="007D51D5"/>
    <w:rsid w:val="007E356A"/>
    <w:rsid w:val="00807FDC"/>
    <w:rsid w:val="00831645"/>
    <w:rsid w:val="0087025A"/>
    <w:rsid w:val="00874A7C"/>
    <w:rsid w:val="0088162E"/>
    <w:rsid w:val="008A2E12"/>
    <w:rsid w:val="008B10E4"/>
    <w:rsid w:val="008C666D"/>
    <w:rsid w:val="008D2E9E"/>
    <w:rsid w:val="008D79CE"/>
    <w:rsid w:val="008E2DF8"/>
    <w:rsid w:val="009041FB"/>
    <w:rsid w:val="00911FB0"/>
    <w:rsid w:val="009138B1"/>
    <w:rsid w:val="00917449"/>
    <w:rsid w:val="009251D4"/>
    <w:rsid w:val="00930DC3"/>
    <w:rsid w:val="00941F18"/>
    <w:rsid w:val="0096748D"/>
    <w:rsid w:val="0097716E"/>
    <w:rsid w:val="00986D7E"/>
    <w:rsid w:val="009958A7"/>
    <w:rsid w:val="009A11A5"/>
    <w:rsid w:val="009B0F4A"/>
    <w:rsid w:val="009B6DED"/>
    <w:rsid w:val="009D1727"/>
    <w:rsid w:val="009D2B78"/>
    <w:rsid w:val="009E7F78"/>
    <w:rsid w:val="009F13E4"/>
    <w:rsid w:val="009F2D70"/>
    <w:rsid w:val="009F35D9"/>
    <w:rsid w:val="009F36C0"/>
    <w:rsid w:val="00A446FC"/>
    <w:rsid w:val="00AC0AD7"/>
    <w:rsid w:val="00AD54C7"/>
    <w:rsid w:val="00AD6F1B"/>
    <w:rsid w:val="00AE53CB"/>
    <w:rsid w:val="00AF238F"/>
    <w:rsid w:val="00B22652"/>
    <w:rsid w:val="00B744D6"/>
    <w:rsid w:val="00B93A7C"/>
    <w:rsid w:val="00B96232"/>
    <w:rsid w:val="00BD55CF"/>
    <w:rsid w:val="00BD7187"/>
    <w:rsid w:val="00C01871"/>
    <w:rsid w:val="00C02EFF"/>
    <w:rsid w:val="00C03D16"/>
    <w:rsid w:val="00C0660B"/>
    <w:rsid w:val="00C82189"/>
    <w:rsid w:val="00C95631"/>
    <w:rsid w:val="00CA6C08"/>
    <w:rsid w:val="00CB0822"/>
    <w:rsid w:val="00CB29C4"/>
    <w:rsid w:val="00CD303C"/>
    <w:rsid w:val="00CD4E74"/>
    <w:rsid w:val="00CE4718"/>
    <w:rsid w:val="00D0020C"/>
    <w:rsid w:val="00D0415B"/>
    <w:rsid w:val="00D108D0"/>
    <w:rsid w:val="00D4212E"/>
    <w:rsid w:val="00D423E3"/>
    <w:rsid w:val="00D60686"/>
    <w:rsid w:val="00D7120E"/>
    <w:rsid w:val="00D7426B"/>
    <w:rsid w:val="00D80603"/>
    <w:rsid w:val="00DA352E"/>
    <w:rsid w:val="00E01D86"/>
    <w:rsid w:val="00E11BD5"/>
    <w:rsid w:val="00E2050E"/>
    <w:rsid w:val="00E234EC"/>
    <w:rsid w:val="00E3032B"/>
    <w:rsid w:val="00E334C5"/>
    <w:rsid w:val="00E523A6"/>
    <w:rsid w:val="00E738E9"/>
    <w:rsid w:val="00E73BDD"/>
    <w:rsid w:val="00E77DD4"/>
    <w:rsid w:val="00E858AF"/>
    <w:rsid w:val="00E866BB"/>
    <w:rsid w:val="00E94CC0"/>
    <w:rsid w:val="00EB2FC1"/>
    <w:rsid w:val="00EC6E0B"/>
    <w:rsid w:val="00ED2777"/>
    <w:rsid w:val="00ED3C81"/>
    <w:rsid w:val="00F01A88"/>
    <w:rsid w:val="00F437D9"/>
    <w:rsid w:val="00F64E47"/>
    <w:rsid w:val="00FB356F"/>
    <w:rsid w:val="00FD449E"/>
    <w:rsid w:val="00FE48C1"/>
    <w:rsid w:val="00FF7FEF"/>
    <w:rsid w:val="2EE82B5B"/>
    <w:rsid w:val="3D271E5C"/>
    <w:rsid w:val="6C3C06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4"/>
    <w:unhideWhenUsed/>
    <w:qFormat/>
    <w:uiPriority w:val="9"/>
    <w:pPr>
      <w:keepNext/>
      <w:keepLines/>
      <w:spacing w:beforeLines="50" w:line="415" w:lineRule="auto"/>
      <w:outlineLvl w:val="1"/>
    </w:pPr>
    <w:rPr>
      <w:rFonts w:asciiTheme="majorHAnsi" w:hAnsiTheme="majorHAnsi" w:eastAsiaTheme="majorEastAsia" w:cstheme="majorBidi"/>
      <w:b/>
      <w:bCs/>
      <w:sz w:val="30"/>
      <w:szCs w:val="32"/>
    </w:rPr>
  </w:style>
  <w:style w:type="paragraph" w:styleId="3">
    <w:name w:val="heading 3"/>
    <w:basedOn w:val="1"/>
    <w:next w:val="1"/>
    <w:link w:val="15"/>
    <w:unhideWhenUsed/>
    <w:qFormat/>
    <w:uiPriority w:val="9"/>
    <w:pPr>
      <w:keepNext/>
      <w:keepLines/>
      <w:spacing w:beforeLines="50" w:line="360" w:lineRule="auto"/>
      <w:outlineLvl w:val="2"/>
    </w:pPr>
    <w:rPr>
      <w:b/>
      <w:bCs/>
      <w:sz w:val="28"/>
      <w:szCs w:val="32"/>
    </w:rPr>
  </w:style>
  <w:style w:type="paragraph" w:styleId="4">
    <w:name w:val="heading 4"/>
    <w:basedOn w:val="1"/>
    <w:next w:val="1"/>
    <w:link w:val="16"/>
    <w:unhideWhenUsed/>
    <w:qFormat/>
    <w:uiPriority w:val="9"/>
    <w:pPr>
      <w:keepNext/>
      <w:keepLines/>
      <w:spacing w:beforeLines="50" w:line="360" w:lineRule="auto"/>
      <w:outlineLvl w:val="3"/>
    </w:pPr>
    <w:rPr>
      <w:rFonts w:asciiTheme="majorHAnsi" w:hAnsiTheme="majorHAnsi" w:eastAsiaTheme="majorEastAsia" w:cstheme="majorBidi"/>
      <w:b/>
      <w:bCs/>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8"/>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11">
    <w:name w:val="Hyperlink"/>
    <w:qFormat/>
    <w:uiPriority w:val="99"/>
    <w:rPr>
      <w:color w:val="0000FF"/>
      <w:u w:val="single"/>
    </w:rPr>
  </w:style>
  <w:style w:type="character" w:customStyle="1" w:styleId="12">
    <w:name w:val="页眉 字符"/>
    <w:basedOn w:val="10"/>
    <w:link w:val="7"/>
    <w:qFormat/>
    <w:uiPriority w:val="99"/>
    <w:rPr>
      <w:sz w:val="18"/>
      <w:szCs w:val="18"/>
    </w:rPr>
  </w:style>
  <w:style w:type="character" w:customStyle="1" w:styleId="13">
    <w:name w:val="页脚 字符"/>
    <w:basedOn w:val="10"/>
    <w:link w:val="6"/>
    <w:qFormat/>
    <w:uiPriority w:val="99"/>
    <w:rPr>
      <w:sz w:val="18"/>
      <w:szCs w:val="18"/>
    </w:rPr>
  </w:style>
  <w:style w:type="character" w:customStyle="1" w:styleId="14">
    <w:name w:val="标题 2 字符"/>
    <w:basedOn w:val="10"/>
    <w:link w:val="2"/>
    <w:qFormat/>
    <w:uiPriority w:val="9"/>
    <w:rPr>
      <w:rFonts w:asciiTheme="majorHAnsi" w:hAnsiTheme="majorHAnsi" w:eastAsiaTheme="majorEastAsia" w:cstheme="majorBidi"/>
      <w:b/>
      <w:bCs/>
      <w:sz w:val="30"/>
      <w:szCs w:val="32"/>
    </w:rPr>
  </w:style>
  <w:style w:type="character" w:customStyle="1" w:styleId="15">
    <w:name w:val="标题 3 字符"/>
    <w:basedOn w:val="10"/>
    <w:link w:val="3"/>
    <w:qFormat/>
    <w:uiPriority w:val="9"/>
    <w:rPr>
      <w:rFonts w:ascii="Times New Roman" w:hAnsi="Times New Roman" w:eastAsia="宋体" w:cs="Times New Roman"/>
      <w:b/>
      <w:bCs/>
      <w:sz w:val="28"/>
      <w:szCs w:val="32"/>
    </w:rPr>
  </w:style>
  <w:style w:type="character" w:customStyle="1" w:styleId="16">
    <w:name w:val="标题 4 字符"/>
    <w:basedOn w:val="10"/>
    <w:link w:val="4"/>
    <w:qFormat/>
    <w:uiPriority w:val="9"/>
    <w:rPr>
      <w:rFonts w:asciiTheme="majorHAnsi" w:hAnsiTheme="majorHAnsi" w:eastAsiaTheme="majorEastAsia" w:cstheme="majorBidi"/>
      <w:b/>
      <w:bCs/>
      <w:szCs w:val="28"/>
    </w:rPr>
  </w:style>
  <w:style w:type="paragraph" w:styleId="17">
    <w:name w:val="List Paragraph"/>
    <w:basedOn w:val="1"/>
    <w:qFormat/>
    <w:uiPriority w:val="34"/>
    <w:pPr>
      <w:ind w:firstLine="420" w:firstLineChars="200"/>
    </w:pPr>
  </w:style>
  <w:style w:type="character" w:customStyle="1" w:styleId="18">
    <w:name w:val="批注框文本 字符"/>
    <w:basedOn w:val="10"/>
    <w:link w:val="5"/>
    <w:semiHidden/>
    <w:qFormat/>
    <w:uiPriority w:val="99"/>
    <w:rPr>
      <w:rFonts w:ascii="Times New Roman" w:hAnsi="Times New Roman" w:eastAsia="宋体" w:cs="Times New Roman"/>
      <w:sz w:val="18"/>
      <w:szCs w:val="18"/>
    </w:rPr>
  </w:style>
  <w:style w:type="paragraph" w:customStyle="1" w:styleId="19">
    <w:name w:val="Default"/>
    <w:qFormat/>
    <w:uiPriority w:val="0"/>
    <w:pPr>
      <w:widowControl w:val="0"/>
      <w:autoSpaceDE w:val="0"/>
      <w:autoSpaceDN w:val="0"/>
      <w:adjustRightInd w:val="0"/>
    </w:pPr>
    <w:rPr>
      <w:rFonts w:ascii="宋体棦...." w:eastAsia="宋体棦...." w:cs="宋体棦...."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2</Pages>
  <Words>1580</Words>
  <Characters>1609</Characters>
  <Lines>11</Lines>
  <Paragraphs>3</Paragraphs>
  <TotalTime>0</TotalTime>
  <ScaleCrop>false</ScaleCrop>
  <LinksUpToDate>false</LinksUpToDate>
  <CharactersWithSpaces>1612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2023-04-14T12:23:00Z</dcterms:created>
  <dc:creator>招生办公用帐号</dc:creator>
  <cp:lastModifiedBy>立媛</cp:lastModifiedBy>
  <cp:lastPrinted>2018-04-13T08:52:00Z</cp:lastPrinted>
  <dcterms:modified xsi:type="dcterms:W3CDTF">2023-04-17T08:26:54Z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88020593F1314140920D89517E34EF3E_12</vt:lpwstr>
  </property>
</Properties>
</file>