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ADF5" w14:textId="77777777" w:rsidR="00A67D0D" w:rsidRDefault="00A67D0D">
      <w:pPr>
        <w:pStyle w:val="3"/>
        <w:spacing w:before="156"/>
        <w:rPr>
          <w:rFonts w:ascii="宋体" w:hAnsi="宋体"/>
        </w:rPr>
      </w:pPr>
      <w:r>
        <w:rPr>
          <w:rFonts w:ascii="宋体" w:hAnsi="宋体" w:hint="eastAsia"/>
        </w:rPr>
        <w:t>环境工程</w:t>
      </w:r>
    </w:p>
    <w:p w14:paraId="5C40119B" w14:textId="5DD3220E" w:rsidR="00A67D0D" w:rsidRDefault="00A67D0D">
      <w:pPr>
        <w:pStyle w:val="4"/>
        <w:spacing w:before="156"/>
        <w:ind w:firstLineChars="200" w:firstLine="422"/>
        <w:rPr>
          <w:rFonts w:ascii="宋体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）专业特色</w:t>
      </w:r>
    </w:p>
    <w:p w14:paraId="20F05FA5" w14:textId="77777777" w:rsidR="00A67D0D" w:rsidRDefault="00A67D0D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环境工程专业</w:t>
      </w:r>
      <w:r w:rsidR="000144D6">
        <w:rPr>
          <w:rFonts w:ascii="宋体" w:hAnsi="宋体" w:hint="eastAsia"/>
          <w:color w:val="000000"/>
          <w:szCs w:val="21"/>
        </w:rPr>
        <w:t>形成了</w:t>
      </w:r>
      <w:r w:rsidR="002F375E">
        <w:rPr>
          <w:rFonts w:ascii="宋体" w:hAnsi="宋体" w:hint="eastAsia"/>
          <w:color w:val="000000"/>
          <w:szCs w:val="21"/>
        </w:rPr>
        <w:t>以低碳绿色交通为特色</w:t>
      </w:r>
      <w:r w:rsidR="000144D6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具有国际化人才培养体系、</w:t>
      </w:r>
      <w:r w:rsidR="000144D6">
        <w:rPr>
          <w:rFonts w:ascii="宋体" w:hAnsi="宋体" w:hint="eastAsia"/>
          <w:color w:val="000000"/>
          <w:szCs w:val="21"/>
        </w:rPr>
        <w:t>全英文授课的国际化</w:t>
      </w:r>
      <w:r>
        <w:rPr>
          <w:rFonts w:ascii="宋体" w:hAnsi="宋体" w:hint="eastAsia"/>
          <w:color w:val="000000"/>
          <w:szCs w:val="21"/>
        </w:rPr>
        <w:t>师资</w:t>
      </w:r>
      <w:r w:rsidR="002F375E">
        <w:rPr>
          <w:rFonts w:ascii="宋体" w:hAnsi="宋体" w:hint="eastAsia"/>
          <w:color w:val="000000"/>
          <w:szCs w:val="21"/>
        </w:rPr>
        <w:t>队伍</w:t>
      </w:r>
      <w:r>
        <w:rPr>
          <w:rFonts w:ascii="宋体" w:hAnsi="宋体" w:hint="eastAsia"/>
          <w:color w:val="000000"/>
          <w:szCs w:val="21"/>
        </w:rPr>
        <w:t>和</w:t>
      </w:r>
      <w:r w:rsidR="000144D6">
        <w:rPr>
          <w:rFonts w:ascii="宋体" w:hAnsi="宋体" w:hint="eastAsia"/>
          <w:color w:val="000000"/>
          <w:szCs w:val="21"/>
        </w:rPr>
        <w:t>国际一流</w:t>
      </w:r>
      <w:r>
        <w:rPr>
          <w:rFonts w:ascii="宋体" w:hAnsi="宋体" w:hint="eastAsia"/>
          <w:color w:val="000000"/>
          <w:szCs w:val="21"/>
        </w:rPr>
        <w:t>教学</w:t>
      </w:r>
      <w:r w:rsidR="002F375E">
        <w:rPr>
          <w:rFonts w:ascii="宋体" w:hAnsi="宋体" w:hint="eastAsia"/>
          <w:color w:val="000000"/>
          <w:szCs w:val="21"/>
        </w:rPr>
        <w:t>条件</w:t>
      </w:r>
      <w:r>
        <w:rPr>
          <w:rFonts w:ascii="宋体" w:hAnsi="宋体" w:hint="eastAsia"/>
          <w:color w:val="000000"/>
          <w:szCs w:val="21"/>
        </w:rPr>
        <w:t>的</w:t>
      </w:r>
      <w:r w:rsidR="002F375E">
        <w:rPr>
          <w:rFonts w:ascii="宋体" w:hAnsi="宋体" w:cs="Arial" w:hint="eastAsia"/>
          <w:szCs w:val="21"/>
        </w:rPr>
        <w:t>新兴</w:t>
      </w:r>
      <w:r>
        <w:rPr>
          <w:rFonts w:ascii="宋体" w:hAnsi="宋体" w:cs="Arial" w:hint="eastAsia"/>
          <w:szCs w:val="21"/>
        </w:rPr>
        <w:t>交叉特色专业。拥有北京市重点实验室、北京市国际科技合作基地、</w:t>
      </w:r>
      <w:r>
        <w:rPr>
          <w:rFonts w:ascii="宋体" w:hAnsi="宋体" w:hint="eastAsia"/>
          <w:color w:val="000000"/>
          <w:szCs w:val="21"/>
        </w:rPr>
        <w:t>国际有毒有害物质联合研究分中心</w:t>
      </w:r>
      <w:r w:rsidR="002F375E">
        <w:rPr>
          <w:rFonts w:ascii="宋体" w:hAnsi="宋体" w:hint="eastAsia"/>
          <w:color w:val="000000"/>
          <w:szCs w:val="21"/>
        </w:rPr>
        <w:t>、智慧环境联合研究中心</w:t>
      </w:r>
      <w:r>
        <w:rPr>
          <w:rFonts w:ascii="宋体" w:hAnsi="宋体" w:hint="eastAsia"/>
          <w:color w:val="000000"/>
          <w:szCs w:val="21"/>
        </w:rPr>
        <w:t>等</w:t>
      </w:r>
      <w:r w:rsidR="002F375E">
        <w:rPr>
          <w:rFonts w:ascii="宋体" w:hAnsi="宋体" w:hint="eastAsia"/>
          <w:color w:val="000000"/>
          <w:szCs w:val="21"/>
        </w:rPr>
        <w:t>产学研相结合的实践</w:t>
      </w:r>
      <w:r>
        <w:rPr>
          <w:rFonts w:ascii="宋体" w:hAnsi="宋体" w:hint="eastAsia"/>
          <w:color w:val="000000"/>
          <w:szCs w:val="21"/>
        </w:rPr>
        <w:t>平台，建成20余个国内外一流的大型实习实践基地。</w:t>
      </w:r>
      <w:r w:rsidRPr="007E7FFC">
        <w:rPr>
          <w:rFonts w:ascii="宋体" w:hAnsi="宋体" w:hint="eastAsia"/>
          <w:color w:val="000000"/>
          <w:szCs w:val="21"/>
        </w:rPr>
        <w:t>学生均实行导师制一对一精英培养模式，100%学生可参加大学生创新创业项目训练项目</w:t>
      </w:r>
      <w:r w:rsidR="002F375E" w:rsidRPr="007E7FFC">
        <w:rPr>
          <w:rFonts w:ascii="宋体" w:hAnsi="宋体" w:hint="eastAsia"/>
          <w:color w:val="000000"/>
          <w:szCs w:val="21"/>
        </w:rPr>
        <w:t>并取得各类大赛奖励，为继续深造打下坚实基础，专业升学率居全校前列</w:t>
      </w:r>
      <w:r w:rsidR="00556C82" w:rsidRPr="007E7FFC">
        <w:rPr>
          <w:rFonts w:ascii="宋体" w:hAnsi="宋体" w:hint="eastAsia"/>
          <w:color w:val="000000"/>
          <w:szCs w:val="21"/>
        </w:rPr>
        <w:t>，为国家培养大批具有国际化能</w:t>
      </w:r>
      <w:r w:rsidR="00556C82">
        <w:rPr>
          <w:rFonts w:ascii="宋体" w:hAnsi="宋体" w:hint="eastAsia"/>
          <w:color w:val="000000"/>
          <w:szCs w:val="21"/>
        </w:rPr>
        <w:t>力产学研创新型拔尖人才</w:t>
      </w:r>
      <w:r>
        <w:rPr>
          <w:rFonts w:ascii="宋体" w:hAnsi="宋体" w:hint="eastAsia"/>
          <w:color w:val="000000"/>
          <w:szCs w:val="21"/>
        </w:rPr>
        <w:t>。</w:t>
      </w:r>
    </w:p>
    <w:p w14:paraId="40920BD7" w14:textId="77777777" w:rsidR="002F375E" w:rsidRPr="002F375E" w:rsidRDefault="002F375E">
      <w:pPr>
        <w:adjustRightInd w:val="0"/>
        <w:snapToGrid w:val="0"/>
        <w:spacing w:line="360" w:lineRule="exact"/>
        <w:ind w:firstLineChars="200" w:firstLine="420"/>
        <w:rPr>
          <w:rFonts w:ascii="宋体" w:cs="Arial"/>
          <w:szCs w:val="21"/>
        </w:rPr>
      </w:pPr>
    </w:p>
    <w:p w14:paraId="3DDD1B36" w14:textId="2A6D5880" w:rsidR="00A67D0D" w:rsidRDefault="00A67D0D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）培养目标</w:t>
      </w:r>
    </w:p>
    <w:p w14:paraId="6669B3DE" w14:textId="61FCCBF8" w:rsidR="00556C82" w:rsidRDefault="00556C82" w:rsidP="00556C82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556C82">
        <w:rPr>
          <w:rFonts w:ascii="宋体" w:hAnsi="宋体" w:hint="eastAsia"/>
          <w:color w:val="000000"/>
          <w:szCs w:val="21"/>
        </w:rPr>
        <w:t>面向国家重大战略需求，培养具有科学素养、创新意识、国际视野，掌握环境工程领域扎实基础理论和宽广专业知识，具备</w:t>
      </w:r>
      <w:r w:rsidR="000A1163">
        <w:rPr>
          <w:rFonts w:ascii="宋体" w:hAnsi="宋体" w:hint="eastAsia"/>
          <w:color w:val="000000"/>
          <w:szCs w:val="21"/>
        </w:rPr>
        <w:t>绿色低碳、</w:t>
      </w:r>
      <w:r w:rsidRPr="00556C82">
        <w:rPr>
          <w:rFonts w:ascii="宋体" w:hAnsi="宋体" w:hint="eastAsia"/>
          <w:color w:val="000000"/>
          <w:szCs w:val="21"/>
        </w:rPr>
        <w:t>智能建造及智能运维理念和交叉融合人工智能等新兴技术能力，能够在环境工程相关工程领域从事设计、施工、管理和科学研究等工作的国际化创新型精英人才。</w:t>
      </w:r>
    </w:p>
    <w:p w14:paraId="3A29E3C1" w14:textId="77777777" w:rsidR="007E7FFC" w:rsidRPr="00556C82" w:rsidRDefault="007E7FFC" w:rsidP="00556C82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14:paraId="00262FE8" w14:textId="3FE8FCE5" w:rsidR="00A67D0D" w:rsidRDefault="00A67D0D">
      <w:pPr>
        <w:spacing w:line="36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）核心课程</w:t>
      </w:r>
    </w:p>
    <w:p w14:paraId="54088C1B" w14:textId="0B8CF0ED" w:rsidR="00A67D0D" w:rsidRDefault="00430DDE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430DDE">
        <w:rPr>
          <w:rFonts w:hint="eastAsia"/>
          <w:bCs/>
          <w:color w:val="000000"/>
          <w:szCs w:val="21"/>
        </w:rPr>
        <w:t>环境工程原理</w:t>
      </w:r>
      <w:r w:rsidRPr="00430DDE">
        <w:rPr>
          <w:bCs/>
          <w:color w:val="000000"/>
          <w:szCs w:val="21"/>
        </w:rPr>
        <w:t>、</w:t>
      </w:r>
      <w:r w:rsidRPr="00430DDE">
        <w:rPr>
          <w:rFonts w:hint="eastAsia"/>
          <w:bCs/>
          <w:color w:val="000000"/>
          <w:szCs w:val="21"/>
        </w:rPr>
        <w:t>环境工程微生物学、环境监测、水质工程学Ⅰ（含课程设计）、水质工程学Ⅱ（含课程设计）、大气污染控制工程（含课程设计）、固体废物处理与处置（含课程设计）、环境</w:t>
      </w:r>
      <w:r w:rsidR="00130A1D">
        <w:rPr>
          <w:rFonts w:hint="eastAsia"/>
          <w:bCs/>
          <w:color w:val="000000"/>
          <w:szCs w:val="21"/>
        </w:rPr>
        <w:t>影响评价</w:t>
      </w:r>
      <w:r w:rsidRPr="00430DDE">
        <w:rPr>
          <w:rFonts w:hint="eastAsia"/>
          <w:bCs/>
          <w:color w:val="000000"/>
          <w:szCs w:val="21"/>
        </w:rPr>
        <w:t>。</w:t>
      </w:r>
    </w:p>
    <w:p w14:paraId="66F3C3D2" w14:textId="77777777" w:rsidR="00556C82" w:rsidRDefault="00556C82" w:rsidP="00556C82">
      <w:pPr>
        <w:rPr>
          <w:b/>
          <w:bCs/>
        </w:rPr>
      </w:pPr>
    </w:p>
    <w:p w14:paraId="594271D2" w14:textId="2F84DC6C" w:rsidR="00B31EC8" w:rsidRDefault="00B31EC8" w:rsidP="00B31EC8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）升学就业</w:t>
      </w:r>
    </w:p>
    <w:p w14:paraId="3DD07CD3" w14:textId="3ED94277" w:rsidR="00B31EC8" w:rsidRPr="00FF377D" w:rsidRDefault="009610CA" w:rsidP="00CE046E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毕业生就业去向主要涉及环境工程设计，施工，监理</w:t>
      </w:r>
      <w:r w:rsidR="007E7FFC">
        <w:rPr>
          <w:rFonts w:ascii="宋体" w:hAnsi="宋体" w:hint="eastAsia"/>
          <w:color w:val="000000"/>
          <w:szCs w:val="21"/>
        </w:rPr>
        <w:t>，相关科研机构</w:t>
      </w:r>
      <w:r>
        <w:rPr>
          <w:rFonts w:ascii="宋体" w:hAnsi="宋体" w:hint="eastAsia"/>
          <w:color w:val="000000"/>
          <w:szCs w:val="21"/>
        </w:rPr>
        <w:t>以及各级政府环保管理部门。学生毕业后还可报考环境科学与工程相关专业研究生。本专业具有硕士，博士学位授权点，为学生的进一步深造提供了良好条件。</w:t>
      </w:r>
      <w:r w:rsidR="00FE5F5A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020</w:t>
      </w:r>
      <w:r>
        <w:rPr>
          <w:rFonts w:ascii="宋体" w:hAnsi="宋体" w:hint="eastAsia"/>
          <w:color w:val="000000"/>
          <w:szCs w:val="21"/>
        </w:rPr>
        <w:t>年威海环境专业第一届毕业生4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人，其中</w:t>
      </w:r>
      <w:r w:rsidR="009D59E3">
        <w:rPr>
          <w:rFonts w:ascii="宋体" w:hAnsi="宋体" w:hint="eastAsia"/>
          <w:color w:val="000000"/>
          <w:szCs w:val="21"/>
        </w:rPr>
        <w:t>在国内外继续深造人数有3</w:t>
      </w:r>
      <w:r w:rsidR="009D59E3">
        <w:rPr>
          <w:rFonts w:ascii="宋体" w:hAnsi="宋体"/>
          <w:color w:val="000000"/>
          <w:szCs w:val="21"/>
        </w:rPr>
        <w:t>7</w:t>
      </w:r>
      <w:r w:rsidR="009D59E3">
        <w:rPr>
          <w:rFonts w:ascii="宋体" w:hAnsi="宋体" w:hint="eastAsia"/>
          <w:color w:val="000000"/>
          <w:szCs w:val="21"/>
        </w:rPr>
        <w:t>人，升学率为8</w:t>
      </w:r>
      <w:r w:rsidR="009D59E3">
        <w:rPr>
          <w:rFonts w:ascii="宋体" w:hAnsi="宋体"/>
          <w:color w:val="000000"/>
          <w:szCs w:val="21"/>
        </w:rPr>
        <w:t>2</w:t>
      </w:r>
      <w:r w:rsidR="009D59E3">
        <w:rPr>
          <w:rFonts w:ascii="宋体" w:hAnsi="宋体" w:hint="eastAsia"/>
          <w:color w:val="000000"/>
          <w:szCs w:val="21"/>
        </w:rPr>
        <w:t>%，名列全校第一。获得国外深造机会的有2</w:t>
      </w:r>
      <w:r w:rsidR="009D59E3">
        <w:rPr>
          <w:rFonts w:ascii="宋体" w:hAnsi="宋体"/>
          <w:color w:val="000000"/>
          <w:szCs w:val="21"/>
        </w:rPr>
        <w:t>6</w:t>
      </w:r>
      <w:r w:rsidR="009D59E3">
        <w:rPr>
          <w:rFonts w:ascii="宋体" w:hAnsi="宋体" w:hint="eastAsia"/>
          <w:color w:val="000000"/>
          <w:szCs w:val="21"/>
        </w:rPr>
        <w:t>人，比率</w:t>
      </w:r>
      <w:r w:rsidR="009D59E3" w:rsidRPr="00FF377D">
        <w:rPr>
          <w:rFonts w:ascii="宋体" w:hAnsi="宋体" w:hint="eastAsia"/>
          <w:color w:val="000000"/>
          <w:szCs w:val="21"/>
        </w:rPr>
        <w:t>高达5</w:t>
      </w:r>
      <w:r w:rsidR="009D59E3" w:rsidRPr="00FF377D">
        <w:rPr>
          <w:rFonts w:ascii="宋体" w:hAnsi="宋体"/>
          <w:color w:val="000000"/>
          <w:szCs w:val="21"/>
        </w:rPr>
        <w:t>8</w:t>
      </w:r>
      <w:r w:rsidR="009D59E3" w:rsidRPr="00FF377D">
        <w:rPr>
          <w:rFonts w:ascii="宋体" w:hAnsi="宋体" w:hint="eastAsia"/>
          <w:color w:val="000000"/>
          <w:szCs w:val="21"/>
        </w:rPr>
        <w:t>%，其中进入全球前5</w:t>
      </w:r>
      <w:r w:rsidR="009D59E3" w:rsidRPr="00FF377D">
        <w:rPr>
          <w:rFonts w:ascii="宋体" w:hAnsi="宋体"/>
          <w:color w:val="000000"/>
          <w:szCs w:val="21"/>
        </w:rPr>
        <w:t>0</w:t>
      </w:r>
      <w:r w:rsidR="009D59E3" w:rsidRPr="00FF377D">
        <w:rPr>
          <w:rFonts w:ascii="宋体" w:hAnsi="宋体" w:hint="eastAsia"/>
          <w:color w:val="000000"/>
          <w:szCs w:val="21"/>
        </w:rPr>
        <w:t>排名高校的学生比例为1</w:t>
      </w:r>
      <w:r w:rsidR="009D59E3" w:rsidRPr="00FF377D">
        <w:rPr>
          <w:rFonts w:ascii="宋体" w:hAnsi="宋体"/>
          <w:color w:val="000000"/>
          <w:szCs w:val="21"/>
        </w:rPr>
        <w:t>00</w:t>
      </w:r>
      <w:r w:rsidR="009D59E3" w:rsidRPr="00FF377D">
        <w:rPr>
          <w:rFonts w:ascii="宋体" w:hAnsi="宋体" w:hint="eastAsia"/>
          <w:color w:val="000000"/>
          <w:szCs w:val="21"/>
        </w:rPr>
        <w:t>%。</w:t>
      </w:r>
      <w:r w:rsidR="00CE046E" w:rsidRPr="00FF377D">
        <w:rPr>
          <w:rFonts w:ascii="宋体" w:hAnsi="宋体" w:hint="eastAsia"/>
          <w:color w:val="000000"/>
          <w:szCs w:val="21"/>
        </w:rPr>
        <w:t>该届毕业生中有4人获得北京市优秀三好学生称号，</w:t>
      </w:r>
      <w:r w:rsidR="00604B5F">
        <w:rPr>
          <w:rFonts w:ascii="宋体" w:hAnsi="宋体" w:hint="eastAsia"/>
          <w:color w:val="000000"/>
          <w:szCs w:val="21"/>
        </w:rPr>
        <w:t>1人获评北京市级优秀毕业设计论文</w:t>
      </w:r>
      <w:r w:rsidR="00CE046E" w:rsidRPr="00FF377D">
        <w:rPr>
          <w:rFonts w:ascii="宋体" w:hAnsi="宋体" w:hint="eastAsia"/>
          <w:color w:val="000000"/>
          <w:szCs w:val="21"/>
        </w:rPr>
        <w:t>1人获得兰卡斯特大学校长荣誉勋章。</w:t>
      </w:r>
    </w:p>
    <w:tbl>
      <w:tblPr>
        <w:tblW w:w="8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133"/>
        <w:gridCol w:w="1359"/>
        <w:gridCol w:w="1439"/>
        <w:gridCol w:w="2454"/>
      </w:tblGrid>
      <w:tr w:rsidR="00FE5F5A" w:rsidRPr="00FE5F5A" w14:paraId="73E0A51F" w14:textId="77777777" w:rsidTr="00FE5F5A">
        <w:trPr>
          <w:trHeight w:val="423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DBC6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环境工程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1885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2017年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54C7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2018年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FB16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2019年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4116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2020年</w:t>
            </w:r>
          </w:p>
        </w:tc>
      </w:tr>
      <w:tr w:rsidR="00FE5F5A" w:rsidRPr="00FE5F5A" w14:paraId="7168ED7C" w14:textId="77777777" w:rsidTr="00FE5F5A">
        <w:trPr>
          <w:trHeight w:val="354"/>
        </w:trPr>
        <w:tc>
          <w:tcPr>
            <w:tcW w:w="19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7A55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毕业人数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C580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A94C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1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B4BB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2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47E5" w14:textId="35BFE13B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="00B52316">
              <w:rPr>
                <w:rFonts w:ascii="宋体" w:hAnsi="宋体"/>
                <w:color w:val="000000"/>
                <w:szCs w:val="21"/>
              </w:rPr>
              <w:t>（含威海校区）</w:t>
            </w:r>
            <w:bookmarkStart w:id="0" w:name="_GoBack"/>
            <w:bookmarkEnd w:id="0"/>
          </w:p>
        </w:tc>
      </w:tr>
      <w:tr w:rsidR="00FE5F5A" w:rsidRPr="00FE5F5A" w14:paraId="4670D133" w14:textId="77777777" w:rsidTr="00FE5F5A">
        <w:trPr>
          <w:trHeight w:val="602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B152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上研人数（保+考）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799E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22（63%）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92A4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15（45%）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7B51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16（52%）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8ED1" w14:textId="0FE6BC06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26</w:t>
            </w: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（50%）</w:t>
            </w:r>
          </w:p>
        </w:tc>
      </w:tr>
      <w:tr w:rsidR="00FE5F5A" w:rsidRPr="00FE5F5A" w14:paraId="5832171C" w14:textId="77777777" w:rsidTr="00FE5F5A">
        <w:trPr>
          <w:trHeight w:val="354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734E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留学人数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791E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1817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F9EE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F58E" w14:textId="0AB9FF61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</w:tr>
      <w:tr w:rsidR="00FE5F5A" w:rsidRPr="00FE5F5A" w14:paraId="2A149D92" w14:textId="77777777" w:rsidTr="00FE5F5A">
        <w:trPr>
          <w:trHeight w:val="354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74CD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 w:hint="eastAsia"/>
                <w:b/>
                <w:bCs/>
                <w:color w:val="000000"/>
                <w:szCs w:val="21"/>
              </w:rPr>
              <w:t>深造率（</w:t>
            </w: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%</w:t>
            </w:r>
            <w:r w:rsidRPr="00FE5F5A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97F7" w14:textId="43A7A3C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75.</w:t>
            </w:r>
            <w:r w:rsidR="00FB70A8">
              <w:rPr>
                <w:rFonts w:ascii="宋体" w:hAnsi="宋体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C11D" w14:textId="1142E396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60.6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3BF8" w14:textId="4EBE1C7B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61.</w:t>
            </w:r>
            <w:r w:rsidR="00FB70A8">
              <w:rPr>
                <w:rFonts w:ascii="宋体" w:hAnsi="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690B" w14:textId="7E8DB87E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91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5</w:t>
            </w:r>
          </w:p>
        </w:tc>
      </w:tr>
      <w:tr w:rsidR="00FE5F5A" w:rsidRPr="00FE5F5A" w14:paraId="045F7BED" w14:textId="77777777" w:rsidTr="00FE5F5A">
        <w:trPr>
          <w:trHeight w:val="602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A3F5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就业率（%）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D780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100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401C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100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60B1" w14:textId="6F255D58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93.</w:t>
            </w:r>
            <w:r w:rsidR="00FB70A8">
              <w:rPr>
                <w:rFonts w:ascii="宋体" w:hAnsi="宋体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3D24" w14:textId="0B9A2B6D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80.</w:t>
            </w:r>
            <w:r w:rsidR="00FB70A8">
              <w:rPr>
                <w:rFonts w:ascii="宋体" w:hAnsi="宋体"/>
                <w:b/>
                <w:bCs/>
                <w:color w:val="000000"/>
                <w:szCs w:val="21"/>
              </w:rPr>
              <w:t>8</w:t>
            </w: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（统计方法变化）</w:t>
            </w:r>
          </w:p>
        </w:tc>
      </w:tr>
      <w:tr w:rsidR="00FE5F5A" w:rsidRPr="00FE5F5A" w14:paraId="6D0F551C" w14:textId="77777777" w:rsidTr="00FE5F5A">
        <w:trPr>
          <w:trHeight w:val="1066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F1A9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lastRenderedPageBreak/>
              <w:t>近年上研院校示例</w:t>
            </w:r>
          </w:p>
        </w:tc>
        <w:tc>
          <w:tcPr>
            <w:tcW w:w="63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0D3EF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清华大学、北京大学、同济大学、浙江大学、中国科学院大学、哈尔滨工业大学</w:t>
            </w:r>
            <w:r w:rsidRPr="00FE5F5A">
              <w:rPr>
                <w:rFonts w:ascii="宋体" w:hAnsi="宋体"/>
                <w:color w:val="000000"/>
                <w:szCs w:val="21"/>
              </w:rPr>
              <w:t>、</w:t>
            </w: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中国科学院生态环境研究中心</w:t>
            </w:r>
            <w:r w:rsidRPr="00FE5F5A">
              <w:rPr>
                <w:rFonts w:ascii="宋体" w:hAnsi="宋体"/>
                <w:color w:val="000000"/>
                <w:szCs w:val="21"/>
              </w:rPr>
              <w:t>、湖南大学、南京大学、中国人民大学、南开大学、北京交通大学等。</w:t>
            </w:r>
          </w:p>
        </w:tc>
      </w:tr>
      <w:tr w:rsidR="00FE5F5A" w:rsidRPr="00FE5F5A" w14:paraId="4E1B0D40" w14:textId="77777777" w:rsidTr="00FE5F5A">
        <w:trPr>
          <w:trHeight w:val="984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F27C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近年留学院校示例</w:t>
            </w:r>
          </w:p>
        </w:tc>
        <w:tc>
          <w:tcPr>
            <w:tcW w:w="63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33452" w14:textId="06238F8D" w:rsidR="00FE5F5A" w:rsidRPr="00FE5F5A" w:rsidRDefault="00FB70A8" w:rsidP="00FE5F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帝国理工大学、</w:t>
            </w:r>
            <w:r w:rsidR="00FE5F5A" w:rsidRPr="00FE5F5A">
              <w:rPr>
                <w:rFonts w:ascii="宋体" w:hAnsi="宋体"/>
                <w:b/>
                <w:bCs/>
                <w:color w:val="000000"/>
                <w:szCs w:val="21"/>
              </w:rPr>
              <w:t>伦敦大学学院、曼彻斯特大学、爱丁堡大学</w:t>
            </w:r>
            <w:r w:rsidR="00FE5F5A" w:rsidRPr="00FE5F5A"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兰卡斯特大学、</w:t>
            </w:r>
            <w:r w:rsidR="00FE5F5A" w:rsidRPr="00FE5F5A">
              <w:rPr>
                <w:rFonts w:ascii="宋体" w:hAnsi="宋体"/>
                <w:color w:val="000000"/>
                <w:szCs w:val="21"/>
              </w:rPr>
              <w:t>香港科技大学、谢菲尔德大学、伊利诺伊大学厄巴纳-香槟分校、雪城大学、筑波大学等。</w:t>
            </w:r>
          </w:p>
        </w:tc>
      </w:tr>
      <w:tr w:rsidR="00FE5F5A" w:rsidRPr="00FE5F5A" w14:paraId="7C8813F5" w14:textId="77777777" w:rsidTr="00FE5F5A">
        <w:trPr>
          <w:trHeight w:val="1066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E1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21D8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近年就业单位示例</w:t>
            </w:r>
          </w:p>
        </w:tc>
        <w:tc>
          <w:tcPr>
            <w:tcW w:w="63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75441" w14:textId="77777777" w:rsidR="00FE5F5A" w:rsidRPr="00FE5F5A" w:rsidRDefault="00FE5F5A" w:rsidP="00FE5F5A">
            <w:pPr>
              <w:rPr>
                <w:rFonts w:ascii="宋体" w:hAnsi="宋体"/>
                <w:color w:val="000000"/>
                <w:szCs w:val="21"/>
              </w:rPr>
            </w:pPr>
            <w:r w:rsidRPr="00FE5F5A">
              <w:rPr>
                <w:rFonts w:ascii="宋体" w:hAnsi="宋体"/>
                <w:b/>
                <w:bCs/>
                <w:color w:val="000000"/>
                <w:szCs w:val="21"/>
              </w:rPr>
              <w:t>中国节能环保集团、北京市自来水集团、北京市政路桥集团、北京城建设计发展集团、中建五局</w:t>
            </w:r>
            <w:r w:rsidRPr="00FE5F5A">
              <w:rPr>
                <w:rFonts w:ascii="宋体" w:hAnsi="宋体"/>
                <w:color w:val="000000"/>
                <w:szCs w:val="21"/>
              </w:rPr>
              <w:t>、中国联合网络通信集团、中铁五局、中国铁路经济规划研究院等。</w:t>
            </w:r>
          </w:p>
        </w:tc>
      </w:tr>
    </w:tbl>
    <w:p w14:paraId="4672D133" w14:textId="77777777" w:rsidR="00B31EC8" w:rsidRPr="00FE5F5A" w:rsidRDefault="00B31EC8">
      <w:pPr>
        <w:rPr>
          <w:rFonts w:ascii="宋体" w:hAnsi="宋体"/>
          <w:color w:val="000000"/>
          <w:szCs w:val="21"/>
        </w:rPr>
      </w:pPr>
    </w:p>
    <w:p w14:paraId="37E05665" w14:textId="685E9FA0" w:rsidR="00CE046E" w:rsidRDefault="00CE046E" w:rsidP="00CE046E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）师资力量</w:t>
      </w:r>
    </w:p>
    <w:p w14:paraId="4F8F9E3A" w14:textId="071D9D86" w:rsidR="00CE046E" w:rsidRPr="00CE046E" w:rsidRDefault="00CE046E" w:rsidP="00CE046E">
      <w:pPr>
        <w:ind w:firstLineChars="200" w:firstLine="420"/>
        <w:rPr>
          <w:rFonts w:ascii="宋体" w:hAnsi="宋体"/>
          <w:color w:val="000000"/>
          <w:szCs w:val="21"/>
        </w:rPr>
      </w:pPr>
      <w:r w:rsidRPr="00CE046E">
        <w:rPr>
          <w:rFonts w:ascii="宋体" w:hAnsi="宋体" w:hint="eastAsia"/>
          <w:color w:val="000000"/>
          <w:szCs w:val="21"/>
        </w:rPr>
        <w:t>本学科专业教师20人，其中教授5人、副教授9人，90%具有博士学位，博导6人、硕士生导师18人。北京卓越青年科学家1人，北京市青年人才2人，北京市优秀教师2人，校级优秀主讲6人次，5人接受过全英文国际化教学培训。获教学成果特等奖、一等奖等奖励，环境专业班级多次获校级市级优良学风班等荣誉称号；</w:t>
      </w:r>
    </w:p>
    <w:p w14:paraId="345F2BC5" w14:textId="683AA139" w:rsidR="00CE046E" w:rsidRDefault="00CE046E" w:rsidP="00CE046E">
      <w:pPr>
        <w:ind w:firstLineChars="200" w:firstLine="420"/>
      </w:pPr>
      <w:r w:rsidRPr="00CE046E">
        <w:rPr>
          <w:rFonts w:ascii="宋体" w:hAnsi="宋体" w:hint="eastAsia"/>
          <w:color w:val="000000"/>
          <w:szCs w:val="21"/>
        </w:rPr>
        <w:t>近五年，</w:t>
      </w:r>
      <w:r>
        <w:rPr>
          <w:rFonts w:ascii="宋体" w:hAnsi="宋体" w:hint="eastAsia"/>
          <w:color w:val="000000"/>
          <w:szCs w:val="21"/>
        </w:rPr>
        <w:t>本专业教师</w:t>
      </w:r>
      <w:r w:rsidRPr="00CE046E">
        <w:rPr>
          <w:rFonts w:ascii="宋体" w:hAnsi="宋体" w:hint="eastAsia"/>
          <w:color w:val="000000"/>
          <w:szCs w:val="21"/>
        </w:rPr>
        <w:t>共主持项目110余项，合同经费1亿元以上。近5年硕士点发表SCI、EI收录等论文160篇。获得省部级以上科研奖励5项。为支撑产学研创新型人才培养打下坚实基础</w:t>
      </w:r>
      <w:r>
        <w:rPr>
          <w:rFonts w:hint="eastAsia"/>
        </w:rPr>
        <w:t>。</w:t>
      </w:r>
    </w:p>
    <w:p w14:paraId="16920C75" w14:textId="77777777" w:rsidR="00A465B9" w:rsidRDefault="00A465B9" w:rsidP="00A465B9">
      <w:pPr>
        <w:widowControl/>
        <w:adjustRightInd w:val="0"/>
        <w:snapToGrid w:val="0"/>
        <w:spacing w:line="4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6</w:t>
      </w:r>
      <w:r>
        <w:rPr>
          <w:rFonts w:hint="eastAsia"/>
          <w:b/>
          <w:szCs w:val="21"/>
        </w:rPr>
        <w:t>）国际交流</w:t>
      </w:r>
    </w:p>
    <w:p w14:paraId="7BF497D4" w14:textId="020767FC" w:rsidR="00A465B9" w:rsidRDefault="00A465B9" w:rsidP="00A465B9">
      <w:pPr>
        <w:ind w:firstLineChars="200" w:firstLine="420"/>
      </w:pPr>
      <w:r>
        <w:rPr>
          <w:rFonts w:ascii="宋体" w:hAnsi="宋体" w:hint="eastAsia"/>
          <w:color w:val="000000"/>
          <w:szCs w:val="21"/>
        </w:rPr>
        <w:t>土木建筑工程</w:t>
      </w:r>
      <w:r w:rsidRPr="00100704">
        <w:rPr>
          <w:rFonts w:ascii="宋体" w:hAnsi="宋体" w:hint="eastAsia"/>
          <w:color w:val="000000"/>
          <w:szCs w:val="21"/>
        </w:rPr>
        <w:t>学院</w:t>
      </w:r>
      <w:r>
        <w:rPr>
          <w:rFonts w:ascii="宋体" w:hAnsi="宋体" w:hint="eastAsia"/>
          <w:color w:val="000000"/>
          <w:szCs w:val="21"/>
        </w:rPr>
        <w:t>及下属系所</w:t>
      </w:r>
      <w:r w:rsidRPr="00100704">
        <w:rPr>
          <w:rFonts w:ascii="宋体" w:hAnsi="宋体" w:hint="eastAsia"/>
          <w:color w:val="000000"/>
          <w:szCs w:val="21"/>
        </w:rPr>
        <w:t>积极开展并注重实质性国际合作与交流，鼓励支持师生双向交流，建立国际科研平台，引进外专引智项目。与美、英、俄、澳、德、西、日等20余个国家、地区40余所高校和机构签署合作协议。学院年均邀请百余人次国外学者来校讲学交流，年均因公出国（境）教职工近100人次，派出本研学生交流40人次，进行学术交流或做学术汇报。并积极组织国际培训、国际夏令营等，拓宽学生国际视野</w:t>
      </w:r>
      <w:r>
        <w:rPr>
          <w:rFonts w:hint="eastAsia"/>
        </w:rPr>
        <w:t>。</w:t>
      </w:r>
    </w:p>
    <w:p w14:paraId="71718A1D" w14:textId="77777777" w:rsidR="00A465B9" w:rsidRPr="001340B8" w:rsidRDefault="00A465B9" w:rsidP="00A465B9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自</w:t>
      </w:r>
      <w:r w:rsidRPr="001340B8">
        <w:rPr>
          <w:rFonts w:ascii="宋体" w:hAnsi="宋体" w:hint="eastAsia"/>
          <w:color w:val="000000"/>
          <w:szCs w:val="21"/>
        </w:rPr>
        <w:t>2016年，</w:t>
      </w:r>
      <w:r>
        <w:rPr>
          <w:rFonts w:ascii="宋体" w:hAnsi="宋体" w:hint="eastAsia"/>
          <w:color w:val="000000"/>
          <w:szCs w:val="21"/>
        </w:rPr>
        <w:t>北京交通大学与</w:t>
      </w:r>
      <w:r w:rsidRPr="001340B8">
        <w:rPr>
          <w:rFonts w:ascii="宋体" w:hAnsi="宋体" w:hint="eastAsia"/>
          <w:color w:val="000000"/>
          <w:szCs w:val="21"/>
        </w:rPr>
        <w:t>英国兰卡斯特成立威海国际学院</w:t>
      </w:r>
      <w:r>
        <w:rPr>
          <w:rFonts w:ascii="宋体" w:hAnsi="宋体" w:hint="eastAsia"/>
          <w:color w:val="000000"/>
          <w:szCs w:val="21"/>
        </w:rPr>
        <w:t>，年均招收</w:t>
      </w:r>
      <w:r w:rsidRPr="001340B8">
        <w:rPr>
          <w:rFonts w:ascii="宋体" w:hAnsi="宋体" w:hint="eastAsia"/>
          <w:color w:val="000000"/>
          <w:szCs w:val="21"/>
        </w:rPr>
        <w:t>国际环境工程本科生80人</w:t>
      </w:r>
      <w:r>
        <w:rPr>
          <w:rFonts w:ascii="宋体" w:hAnsi="宋体" w:hint="eastAsia"/>
          <w:color w:val="000000"/>
          <w:szCs w:val="21"/>
        </w:rPr>
        <w:t>，所有课程实现全英文授课。环境专业在课程设置上做到有机融合并突出中英双方的学科优势。为培养国际化环境专业创新复合型人才奠定坚实基础。</w:t>
      </w:r>
    </w:p>
    <w:p w14:paraId="48AFAD24" w14:textId="77777777" w:rsidR="00A465B9" w:rsidRPr="00A465B9" w:rsidRDefault="00A465B9">
      <w:pPr>
        <w:rPr>
          <w:b/>
          <w:bCs/>
        </w:rPr>
      </w:pPr>
    </w:p>
    <w:sectPr w:rsidR="00A465B9" w:rsidRPr="00A465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CE14" w14:textId="77777777" w:rsidR="00F91A4C" w:rsidRDefault="00F91A4C" w:rsidP="002F375E">
      <w:r>
        <w:separator/>
      </w:r>
    </w:p>
  </w:endnote>
  <w:endnote w:type="continuationSeparator" w:id="0">
    <w:p w14:paraId="560D1F9C" w14:textId="77777777" w:rsidR="00F91A4C" w:rsidRDefault="00F91A4C" w:rsidP="002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835A" w14:textId="77777777" w:rsidR="00F91A4C" w:rsidRDefault="00F91A4C" w:rsidP="002F375E">
      <w:r>
        <w:separator/>
      </w:r>
    </w:p>
  </w:footnote>
  <w:footnote w:type="continuationSeparator" w:id="0">
    <w:p w14:paraId="5222C121" w14:textId="77777777" w:rsidR="00F91A4C" w:rsidRDefault="00F91A4C" w:rsidP="002F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E"/>
    <w:rsid w:val="000144D6"/>
    <w:rsid w:val="000A1163"/>
    <w:rsid w:val="00100704"/>
    <w:rsid w:val="00130A1D"/>
    <w:rsid w:val="001340B8"/>
    <w:rsid w:val="002F375E"/>
    <w:rsid w:val="00332E7C"/>
    <w:rsid w:val="003D2E70"/>
    <w:rsid w:val="00430DDE"/>
    <w:rsid w:val="004A4042"/>
    <w:rsid w:val="00556C82"/>
    <w:rsid w:val="00604B5F"/>
    <w:rsid w:val="007B6920"/>
    <w:rsid w:val="007E7FFC"/>
    <w:rsid w:val="009610CA"/>
    <w:rsid w:val="009D59E3"/>
    <w:rsid w:val="00A465B9"/>
    <w:rsid w:val="00A67D0D"/>
    <w:rsid w:val="00A77382"/>
    <w:rsid w:val="00B31EC8"/>
    <w:rsid w:val="00B52316"/>
    <w:rsid w:val="00C26B18"/>
    <w:rsid w:val="00CE046E"/>
    <w:rsid w:val="00F15015"/>
    <w:rsid w:val="00F91A4C"/>
    <w:rsid w:val="00FB70A8"/>
    <w:rsid w:val="00FE5F5A"/>
    <w:rsid w:val="00FF377D"/>
    <w:rsid w:val="0329535F"/>
    <w:rsid w:val="238A79E2"/>
    <w:rsid w:val="2B3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2180D"/>
  <w15:chartTrackingRefBased/>
  <w15:docId w15:val="{3057DF91-402A-457E-AEE4-C5AD58E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B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keepNext/>
      <w:keepLines/>
      <w:spacing w:beforeLines="50" w:line="360" w:lineRule="auto"/>
      <w:outlineLvl w:val="2"/>
    </w:pPr>
    <w:rPr>
      <w:rFonts w:ascii="Times New Roman" w:hAnsi="Times New Roman"/>
      <w:b/>
      <w:bCs/>
      <w:sz w:val="28"/>
      <w:szCs w:val="32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Lines="50" w:line="360" w:lineRule="auto"/>
      <w:outlineLvl w:val="3"/>
    </w:pPr>
    <w:rPr>
      <w:rFonts w:ascii="Calibri Light" w:hAnsi="Calibri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rsid w:val="002F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F375E"/>
    <w:rPr>
      <w:kern w:val="2"/>
      <w:sz w:val="18"/>
      <w:szCs w:val="18"/>
    </w:rPr>
  </w:style>
  <w:style w:type="paragraph" w:styleId="a5">
    <w:name w:val="footer"/>
    <w:basedOn w:val="a"/>
    <w:link w:val="Char0"/>
    <w:rsid w:val="002F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F37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cp:lastModifiedBy>chen</cp:lastModifiedBy>
  <cp:revision>6</cp:revision>
  <dcterms:created xsi:type="dcterms:W3CDTF">2021-05-10T04:30:00Z</dcterms:created>
  <dcterms:modified xsi:type="dcterms:W3CDTF">2021-05-10T14:38:00Z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40ADF9350593491D86C7DA94DD5475BF</vt:lpwstr>
  </property>
</Properties>
</file>